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jc w:val="center"/>
        <w:rPr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>Základní škola a Mateřská škola Nemojany</w:t>
      </w:r>
      <w:r>
        <w:rPr>
          <w:sz w:val="28"/>
          <w:szCs w:val="28"/>
        </w:rPr>
        <w:t xml:space="preserve">, </w:t>
      </w:r>
    </w:p>
    <w:p>
      <w:pPr>
        <w:pStyle w:val="NoSpacing"/>
        <w:jc w:val="center"/>
        <w:rPr/>
      </w:pPr>
      <w:r>
        <w:rPr/>
        <w:t>okres Vyškov,</w:t>
      </w:r>
    </w:p>
    <w:p>
      <w:pPr>
        <w:pStyle w:val="NoSpacing"/>
        <w:pBdr>
          <w:bottom w:val="single" w:sz="12" w:space="1" w:color="000000"/>
        </w:pBdr>
        <w:jc w:val="center"/>
        <w:rPr/>
      </w:pPr>
      <w:r>
        <w:rPr/>
        <w:t>příspěvková organizace, Nemojany 113, 683 03 Luleč</w:t>
      </w:r>
    </w:p>
    <w:p>
      <w:pPr>
        <w:pStyle w:val="NoSpacing"/>
        <w:pBdr>
          <w:bottom w:val="single" w:sz="12" w:space="1" w:color="000000"/>
        </w:pBdr>
        <w:jc w:val="center"/>
        <w:rPr/>
      </w:pPr>
      <w:r>
        <w:rPr/>
        <w:t>IČO 70 989 842</w:t>
      </w:r>
    </w:p>
    <w:p>
      <w:pPr>
        <w:pStyle w:val="NoSpacing"/>
        <w:pBdr>
          <w:bottom w:val="single" w:sz="12" w:space="1" w:color="000000"/>
        </w:pBdr>
        <w:jc w:val="center"/>
        <w:rPr>
          <w:rFonts w:ascii="Calibri" w:hAnsi="Calibri"/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</w:r>
    </w:p>
    <w:p>
      <w:pPr>
        <w:pStyle w:val="Normal"/>
        <w:jc w:val="center"/>
        <w:rPr>
          <w:b/>
          <w:sz w:val="40"/>
        </w:rPr>
      </w:pPr>
      <w:r>
        <w:rPr>
          <w:b/>
          <w:sz w:val="40"/>
        </w:rPr>
        <w:t>PŘÍLOHA Č. 1A KE ŠKOLNÍMU ŘÁDU ZŠ</w:t>
      </w:r>
    </w:p>
    <w:p>
      <w:pPr>
        <w:pStyle w:val="Normal"/>
        <w:jc w:val="center"/>
        <w:rPr>
          <w:i/>
          <w:sz w:val="24"/>
        </w:rPr>
      </w:pPr>
      <w:r>
        <w:rPr>
          <w:i/>
          <w:sz w:val="24"/>
        </w:rPr>
        <w:t>Kritéria, metody a formy hodnocení žáků</w:t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b/>
        </w:rPr>
      </w:pPr>
      <w:r>
        <w:rPr>
          <w:b/>
        </w:rPr>
        <w:t>Směrnice / příloha č. 1A ke Školnímu řádu ZŠ</w:t>
      </w:r>
    </w:p>
    <w:p>
      <w:pPr>
        <w:pStyle w:val="Normal"/>
        <w:jc w:val="center"/>
        <w:rPr>
          <w:lang w:val="cs-CZ"/>
        </w:rPr>
      </w:pPr>
      <w:r>
        <w:rPr/>
        <w:t>Účinná od:</w:t>
      </w:r>
      <w:r>
        <w:rPr>
          <w:lang w:val="cs-CZ"/>
        </w:rPr>
        <w:t xml:space="preserve"> 1. 9. 2026</w:t>
      </w:r>
    </w:p>
    <w:p>
      <w:pPr>
        <w:pStyle w:val="Normal"/>
        <w:jc w:val="center"/>
        <w:rPr/>
      </w:pPr>
      <w:r>
        <w:rPr/>
        <w:t xml:space="preserve">Ředitelka školy: </w:t>
      </w:r>
      <w:r>
        <w:rPr>
          <w:lang w:val="cs-CZ"/>
        </w:rPr>
        <w:t xml:space="preserve">Mgr. </w:t>
      </w:r>
      <w:r>
        <w:rPr/>
        <w:t>Zdeňka Vanderková</w:t>
      </w:r>
    </w:p>
    <w:p>
      <w:pPr>
        <w:pStyle w:val="Normal"/>
        <w:rPr/>
      </w:pPr>
      <w:r>
        <w:rPr/>
      </w:r>
      <w:r>
        <w:br w:type="page"/>
      </w:r>
    </w:p>
    <w:p>
      <w:pPr>
        <w:pStyle w:val="Heading1"/>
        <w:numPr>
          <w:ilvl w:val="0"/>
          <w:numId w:val="1"/>
        </w:numPr>
        <w:spacing w:before="0" w:after="0"/>
        <w:rPr/>
      </w:pPr>
      <w:r>
        <w:rPr/>
        <w:t>Účel přílohy</w:t>
      </w:r>
    </w:p>
    <w:p>
      <w:pPr>
        <w:pStyle w:val="Normal"/>
        <w:spacing w:before="0" w:after="80"/>
        <w:rPr/>
      </w:pPr>
      <w:r>
        <w:rPr/>
        <w:t>Tato příloha rozpracovává Přílohu č. 1 ke Školnímu řádu a sjednocuje základní postupy při získávání podkladů, poskytování zpětné vazby a posuzování vzdělávacích výsledků. Neomezuje učitele v používání dalších pedagogicky vhodných metod.</w:t>
      </w:r>
    </w:p>
    <w:p>
      <w:pPr>
        <w:pStyle w:val="Heading1"/>
        <w:numPr>
          <w:ilvl w:val="0"/>
          <w:numId w:val="1"/>
        </w:numPr>
        <w:rPr/>
      </w:pPr>
      <w:r>
        <w:rPr/>
        <w:t>1. Základní kritéria hodnocení</w:t>
      </w:r>
    </w:p>
    <w:tbl>
      <w:tblPr>
        <w:tblW w:w="96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44"/>
        <w:gridCol w:w="4844"/>
      </w:tblGrid>
      <w:tr>
        <w:trPr/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b/>
                <w:kern w:val="0"/>
              </w:rPr>
              <w:t>Oblast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b/>
                <w:kern w:val="0"/>
              </w:rPr>
              <w:t>Co učitel sleduje</w:t>
            </w:r>
          </w:p>
        </w:tc>
      </w:tr>
      <w:tr>
        <w:trPr/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  <w:t>Vědomosti a porozumění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  <w:t>rozsah a správnost osvojených poznatků, porozumění učivu</w:t>
            </w:r>
          </w:p>
        </w:tc>
      </w:tr>
      <w:tr>
        <w:trPr/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  <w:t>Dovednosti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  <w:t>schopnost použít postup, pracovat s pomůckami a aplikovat učivo</w:t>
            </w:r>
          </w:p>
        </w:tc>
      </w:tr>
      <w:tr>
        <w:trPr/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  <w:t>Samostatnost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  <w:t>míra potřebné podpory, plánování a dokončení práce</w:t>
            </w:r>
          </w:p>
        </w:tc>
      </w:tr>
      <w:tr>
        <w:trPr/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  <w:t>Řešení problémů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  <w:t>volba postupu, argumentace, práce s chybou</w:t>
            </w:r>
          </w:p>
        </w:tc>
      </w:tr>
      <w:tr>
        <w:trPr/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  <w:t>Komunikace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  <w:t>srozumitelnost vyjadřování, naslouchání, práce s informacemi</w:t>
            </w:r>
          </w:p>
        </w:tc>
      </w:tr>
      <w:tr>
        <w:trPr/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  <w:t>Tvořivost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  <w:t>samostatné nápady a vhodné hledání různých řešení</w:t>
            </w:r>
          </w:p>
        </w:tc>
      </w:tr>
      <w:tr>
        <w:trPr/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  <w:t>Spolupráce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  <w:t>aktivní a ohleduplný podíl na společném úkolu</w:t>
            </w:r>
          </w:p>
        </w:tc>
      </w:tr>
      <w:tr>
        <w:trPr/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  <w:t>Pracovní návyky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  <w:t>připravenost, organizace práce a odpovědnost</w:t>
            </w:r>
          </w:p>
        </w:tc>
      </w:tr>
    </w:tbl>
    <w:p>
      <w:pPr>
        <w:pStyle w:val="Heading1"/>
        <w:numPr>
          <w:ilvl w:val="0"/>
          <w:numId w:val="1"/>
        </w:numPr>
        <w:rPr/>
      </w:pPr>
      <w:r>
        <w:rPr/>
        <w:t>2. Metody a formy hodnocení</w:t>
      </w:r>
    </w:p>
    <w:p>
      <w:pPr>
        <w:pStyle w:val="ListBullet"/>
        <w:numPr>
          <w:ilvl w:val="0"/>
          <w:numId w:val="2"/>
        </w:numPr>
        <w:rPr/>
      </w:pPr>
      <w:r>
        <w:rPr/>
        <w:t>ústní zkoušení a rozhovor;</w:t>
      </w:r>
    </w:p>
    <w:p>
      <w:pPr>
        <w:pStyle w:val="ListBullet"/>
        <w:numPr>
          <w:ilvl w:val="0"/>
          <w:numId w:val="2"/>
        </w:numPr>
        <w:rPr/>
      </w:pPr>
      <w:r>
        <w:rPr/>
        <w:t>písemné práce a krátká ověřování;</w:t>
      </w:r>
    </w:p>
    <w:p>
      <w:pPr>
        <w:pStyle w:val="ListBullet"/>
        <w:numPr>
          <w:ilvl w:val="0"/>
          <w:numId w:val="2"/>
        </w:numPr>
        <w:rPr/>
      </w:pPr>
      <w:r>
        <w:rPr/>
        <w:t>kontrolní a tematické práce;</w:t>
      </w:r>
    </w:p>
    <w:p>
      <w:pPr>
        <w:pStyle w:val="ListBullet"/>
        <w:numPr>
          <w:ilvl w:val="0"/>
          <w:numId w:val="2"/>
        </w:numPr>
        <w:rPr/>
      </w:pPr>
      <w:r>
        <w:rPr/>
        <w:t>čtení s porozuměním a práce s textem;</w:t>
      </w:r>
    </w:p>
    <w:p>
      <w:pPr>
        <w:pStyle w:val="ListBullet"/>
        <w:numPr>
          <w:ilvl w:val="0"/>
          <w:numId w:val="2"/>
        </w:numPr>
        <w:rPr/>
      </w:pPr>
      <w:r>
        <w:rPr/>
        <w:t>řešení slovních a problémových úloh;</w:t>
      </w:r>
    </w:p>
    <w:p>
      <w:pPr>
        <w:pStyle w:val="ListBullet"/>
        <w:numPr>
          <w:ilvl w:val="0"/>
          <w:numId w:val="2"/>
        </w:numPr>
        <w:rPr/>
      </w:pPr>
      <w:r>
        <w:rPr/>
        <w:t>praktické činnosti a pokusy;</w:t>
      </w:r>
    </w:p>
    <w:p>
      <w:pPr>
        <w:pStyle w:val="ListBullet"/>
        <w:numPr>
          <w:ilvl w:val="0"/>
          <w:numId w:val="2"/>
        </w:numPr>
        <w:rPr/>
      </w:pPr>
      <w:r>
        <w:rPr/>
        <w:t>projekty, prezentace a výstupy;</w:t>
      </w:r>
    </w:p>
    <w:p>
      <w:pPr>
        <w:pStyle w:val="ListBullet"/>
        <w:numPr>
          <w:ilvl w:val="0"/>
          <w:numId w:val="2"/>
        </w:numPr>
        <w:rPr/>
      </w:pPr>
      <w:r>
        <w:rPr/>
        <w:t>výtvarné, hudební, pracovní a pohybové činnosti;</w:t>
      </w:r>
    </w:p>
    <w:p>
      <w:pPr>
        <w:pStyle w:val="ListBullet"/>
        <w:numPr>
          <w:ilvl w:val="0"/>
          <w:numId w:val="2"/>
        </w:numPr>
        <w:rPr/>
      </w:pPr>
      <w:r>
        <w:rPr/>
        <w:t>skupinová a kooperativní práce;</w:t>
      </w:r>
    </w:p>
    <w:p>
      <w:pPr>
        <w:pStyle w:val="ListBullet"/>
        <w:numPr>
          <w:ilvl w:val="0"/>
          <w:numId w:val="2"/>
        </w:numPr>
        <w:rPr/>
      </w:pPr>
      <w:r>
        <w:rPr/>
        <w:t>portfolio;</w:t>
      </w:r>
    </w:p>
    <w:p>
      <w:pPr>
        <w:pStyle w:val="ListBullet"/>
        <w:numPr>
          <w:ilvl w:val="0"/>
          <w:numId w:val="2"/>
        </w:numPr>
        <w:rPr/>
      </w:pPr>
      <w:r>
        <w:rPr/>
        <w:t>sebehodnocení a vzájemné hodnocení.</w:t>
      </w:r>
    </w:p>
    <w:p>
      <w:pPr>
        <w:pStyle w:val="Heading1"/>
        <w:numPr>
          <w:ilvl w:val="0"/>
          <w:numId w:val="1"/>
        </w:numPr>
        <w:rPr/>
      </w:pPr>
      <w:r>
        <w:rPr/>
        <w:t>3. Písemné práce</w:t>
      </w:r>
    </w:p>
    <w:p>
      <w:pPr>
        <w:pStyle w:val="Normal"/>
        <w:spacing w:before="0" w:after="80"/>
        <w:rPr/>
      </w:pPr>
      <w:r>
        <w:rPr/>
        <w:t>Písemné práce mají odpovídat rozsahu probraného učiva a věku žáků. Učitel přiměřeně předem oznámí rozsáhlejší písemné ověřování. Po práci je vhodné věnovat prostor rozboru chyb a jejich opravě. Při hodnocení se posuzuje zejména správnost, postup a zvládnutí stanovených výstupů.</w:t>
      </w:r>
    </w:p>
    <w:p>
      <w:pPr>
        <w:pStyle w:val="Heading1"/>
        <w:numPr>
          <w:ilvl w:val="0"/>
          <w:numId w:val="1"/>
        </w:numPr>
        <w:rPr/>
      </w:pPr>
      <w:r>
        <w:rPr/>
        <w:t>4. Ústní hodnocení</w:t>
      </w:r>
    </w:p>
    <w:p>
      <w:pPr>
        <w:pStyle w:val="Normal"/>
        <w:spacing w:before="0" w:after="80"/>
        <w:rPr/>
      </w:pPr>
      <w:r>
        <w:rPr/>
        <w:t>Ústní ověřování může mít podobu rozhovoru, vysvětlení postupu, prezentace, čtení, reprodukce, argumentace nebo řešení problému. Učitel zohlední obsahovou správnost i schopnost žáka své řešení srozumitelně vysvětlit.</w:t>
      </w:r>
    </w:p>
    <w:p>
      <w:pPr>
        <w:pStyle w:val="Heading1"/>
        <w:numPr>
          <w:ilvl w:val="0"/>
          <w:numId w:val="1"/>
        </w:numPr>
        <w:rPr/>
      </w:pPr>
      <w:r>
        <w:rPr/>
        <w:t>5. Projekty, prezentace a dlouhodobější práce</w:t>
      </w:r>
    </w:p>
    <w:p>
      <w:pPr>
        <w:pStyle w:val="ListBullet"/>
        <w:numPr>
          <w:ilvl w:val="0"/>
          <w:numId w:val="2"/>
        </w:numPr>
        <w:rPr/>
      </w:pPr>
      <w:r>
        <w:rPr/>
        <w:t>zadání musí být srozumitelné a přiměřené věku;</w:t>
      </w:r>
    </w:p>
    <w:p>
      <w:pPr>
        <w:pStyle w:val="ListBullet"/>
        <w:numPr>
          <w:ilvl w:val="0"/>
          <w:numId w:val="2"/>
        </w:numPr>
        <w:rPr/>
      </w:pPr>
      <w:r>
        <w:rPr/>
        <w:t>žák má znát hlavní kritéria hodnocení;</w:t>
      </w:r>
    </w:p>
    <w:p>
      <w:pPr>
        <w:pStyle w:val="ListBullet"/>
        <w:numPr>
          <w:ilvl w:val="0"/>
          <w:numId w:val="2"/>
        </w:numPr>
        <w:rPr/>
      </w:pPr>
      <w:r>
        <w:rPr/>
        <w:t>hodnotí se především obsah, splnění zadání, práce se zdroji, samostatnost, zpracování a prezentace podle charakteru úkolu;</w:t>
      </w:r>
    </w:p>
    <w:p>
      <w:pPr>
        <w:pStyle w:val="ListBullet"/>
        <w:numPr>
          <w:ilvl w:val="0"/>
          <w:numId w:val="2"/>
        </w:numPr>
        <w:rPr/>
      </w:pPr>
      <w:r>
        <w:rPr/>
        <w:t>při skupinové práci se přihlíží k individuálnímu podílu žáka.</w:t>
      </w:r>
    </w:p>
    <w:p>
      <w:pPr>
        <w:pStyle w:val="Heading1"/>
        <w:numPr>
          <w:ilvl w:val="0"/>
          <w:numId w:val="1"/>
        </w:numPr>
        <w:rPr/>
      </w:pPr>
      <w:r>
        <w:rPr/>
        <w:t>6. Domácí příprava a domácí úkoly</w:t>
      </w:r>
    </w:p>
    <w:p>
      <w:pPr>
        <w:pStyle w:val="Normal"/>
        <w:spacing w:before="0" w:after="80"/>
        <w:rPr/>
      </w:pPr>
      <w:r>
        <w:rPr/>
        <w:t>Domácí příprava navazuje na výuku. Úkol má být přiměřený, srozumitelný a realizovatelný žákem. Domácí úkol může sloužit zejména k procvičení a upevnění učiva. Samotné nesplnění domácího úkolu není automaticky hodnoceno známkou z předmětu; při hodnocení výsledků vzdělávání se posuzují především dosažené vzdělávací výstupy.</w:t>
      </w:r>
    </w:p>
    <w:p>
      <w:pPr>
        <w:pStyle w:val="Heading1"/>
        <w:numPr>
          <w:ilvl w:val="0"/>
          <w:numId w:val="1"/>
        </w:numPr>
        <w:rPr/>
      </w:pPr>
      <w:r>
        <w:rPr/>
        <w:t>7. Sebehodnocení – doporučené otázky</w:t>
      </w:r>
    </w:p>
    <w:p>
      <w:pPr>
        <w:pStyle w:val="ListBullet"/>
        <w:numPr>
          <w:ilvl w:val="0"/>
          <w:numId w:val="2"/>
        </w:numPr>
        <w:rPr/>
      </w:pPr>
      <w:r>
        <w:rPr/>
        <w:t>Co jsem se naučil/a?</w:t>
      </w:r>
    </w:p>
    <w:p>
      <w:pPr>
        <w:pStyle w:val="ListBullet"/>
        <w:numPr>
          <w:ilvl w:val="0"/>
          <w:numId w:val="2"/>
        </w:numPr>
        <w:rPr/>
      </w:pPr>
      <w:r>
        <w:rPr/>
        <w:t>Co se mi podařilo nejlépe?</w:t>
      </w:r>
    </w:p>
    <w:p>
      <w:pPr>
        <w:pStyle w:val="ListBullet"/>
        <w:numPr>
          <w:ilvl w:val="0"/>
          <w:numId w:val="2"/>
        </w:numPr>
        <w:rPr/>
      </w:pPr>
      <w:r>
        <w:rPr/>
        <w:t>Co mi ještě nejde a proč?</w:t>
      </w:r>
    </w:p>
    <w:p>
      <w:pPr>
        <w:pStyle w:val="ListBullet"/>
        <w:numPr>
          <w:ilvl w:val="0"/>
          <w:numId w:val="2"/>
        </w:numPr>
        <w:rPr/>
      </w:pPr>
      <w:r>
        <w:rPr/>
        <w:t>Jakou chybu jsem udělal/a a co jsem se z ní naučil/a?</w:t>
      </w:r>
    </w:p>
    <w:p>
      <w:pPr>
        <w:pStyle w:val="ListBullet"/>
        <w:numPr>
          <w:ilvl w:val="0"/>
          <w:numId w:val="2"/>
        </w:numPr>
        <w:rPr/>
      </w:pPr>
      <w:r>
        <w:rPr/>
        <w:t>Co udělám příště jinak?</w:t>
      </w:r>
    </w:p>
    <w:p>
      <w:pPr>
        <w:pStyle w:val="ListBullet"/>
        <w:numPr>
          <w:ilvl w:val="0"/>
          <w:numId w:val="2"/>
        </w:numPr>
        <w:rPr/>
      </w:pPr>
      <w:r>
        <w:rPr/>
        <w:t>Jakou pomoc potřebuji?</w:t>
      </w:r>
    </w:p>
    <w:p>
      <w:pPr>
        <w:pStyle w:val="Heading1"/>
        <w:numPr>
          <w:ilvl w:val="0"/>
          <w:numId w:val="1"/>
        </w:numPr>
        <w:rPr/>
      </w:pPr>
      <w:r>
        <w:rPr/>
        <w:t>8. Orientační kritéria pro klasifikační stupně</w:t>
      </w:r>
    </w:p>
    <w:tbl>
      <w:tblPr>
        <w:tblW w:w="969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30"/>
        <w:gridCol w:w="3230"/>
        <w:gridCol w:w="3231"/>
      </w:tblGrid>
      <w:tr>
        <w:trPr/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b/>
                <w:kern w:val="0"/>
              </w:rPr>
              <w:t>Stupeň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b/>
                <w:kern w:val="0"/>
              </w:rPr>
              <w:t>Výkon žáka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b/>
                <w:kern w:val="0"/>
              </w:rPr>
              <w:t>Potřebná podpora</w:t>
            </w:r>
          </w:p>
        </w:tc>
      </w:tr>
      <w:tr>
        <w:trPr/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  <w:t>1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  <w:t>požadované výstupy zvládá spolehlivě, samostatně a správně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  <w:t>minimální nebo žádná</w:t>
            </w:r>
          </w:p>
        </w:tc>
      </w:tr>
      <w:tr>
        <w:trPr/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  <w:t>2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  <w:t>výstupy zvládá, objevují se menší nedostatky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  <w:t>občasná</w:t>
            </w:r>
          </w:p>
        </w:tc>
      </w:tr>
      <w:tr>
        <w:trPr/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  <w:t>3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  <w:t>základní výstupy zvládá, chyby jsou častější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  <w:t>častější vedení</w:t>
            </w:r>
          </w:p>
        </w:tc>
      </w:tr>
      <w:tr>
        <w:trPr/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  <w:t>4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  <w:t>výstupy zvládá jen částečně a s podstatnými obtížemi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  <w:t>výrazná a opakovaná</w:t>
            </w:r>
          </w:p>
        </w:tc>
      </w:tr>
      <w:tr>
        <w:trPr/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  <w:t>5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  <w:t>výstupy nejsou zvládnuty v potřebném rozsahu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  <w:t>ani výrazná podpora nevede k dostatečnému zvládnutí</w:t>
            </w:r>
          </w:p>
        </w:tc>
      </w:tr>
    </w:tbl>
    <w:p>
      <w:pPr>
        <w:pStyle w:val="Heading1"/>
        <w:numPr>
          <w:ilvl w:val="0"/>
          <w:numId w:val="1"/>
        </w:numPr>
        <w:rPr/>
      </w:pPr>
      <w:r>
        <w:rPr/>
        <w:t>9. Předměty s převahou teoretického zaměření</w:t>
      </w:r>
    </w:p>
    <w:p>
      <w:pPr>
        <w:pStyle w:val="Normal"/>
        <w:spacing w:before="0" w:after="80"/>
        <w:rPr/>
      </w:pPr>
      <w:r>
        <w:rPr/>
        <w:t>Podle charakteru předmětu se sleduje zejména porozumění, vědomosti, dovednosti, logické a samostatné myšlení, aplikace poznatků, práce s informacemi, řešení problémů a komunikace.</w:t>
      </w:r>
    </w:p>
    <w:p>
      <w:pPr>
        <w:pStyle w:val="Heading1"/>
        <w:numPr>
          <w:ilvl w:val="0"/>
          <w:numId w:val="1"/>
        </w:numPr>
        <w:rPr/>
      </w:pPr>
      <w:r>
        <w:rPr/>
        <w:t>10. Předměty s převahou praktického, výchovného a uměleckého zaměření</w:t>
      </w:r>
    </w:p>
    <w:p>
      <w:pPr>
        <w:pStyle w:val="Normal"/>
        <w:spacing w:before="0" w:after="80"/>
        <w:rPr/>
      </w:pPr>
      <w:r>
        <w:rPr/>
        <w:t>Podle charakteru předmětu se sleduje zejména tvořivost, samostatnost, zvládnutí pracovních a praktických postupů, aktivita, technika, bezpečné provádění činnosti, vztah k činnosti a schopnost využít osvojené dovednosti. U tělesné výchovy se nepřihlíží pouze k výkonu, ale také k individuálním možnostem, snaze a zvládnutí dovedností.</w:t>
      </w:r>
    </w:p>
    <w:p>
      <w:pPr>
        <w:pStyle w:val="Heading1"/>
        <w:numPr>
          <w:ilvl w:val="0"/>
          <w:numId w:val="1"/>
        </w:numPr>
        <w:rPr/>
      </w:pPr>
      <w:r>
        <w:rPr/>
        <w:t>11. Hodnocení žáka po delší nepřítomnosti</w:t>
      </w:r>
    </w:p>
    <w:p>
      <w:pPr>
        <w:pStyle w:val="Normal"/>
        <w:spacing w:before="0" w:after="80"/>
        <w:rPr/>
      </w:pPr>
      <w:r>
        <w:rPr/>
        <w:t>Po delší nepřítomnosti učitel přiměřeně zohlední možnost žáka doplnit si učivo. Ověřování nemá sloužit k hledání nedostatků vzniklých pouze v důsledku absence. Konkrétní způsob doplnění podkladů se stanoví podle rozsahu a charakteru zameškaného učiva.</w:t>
      </w:r>
    </w:p>
    <w:p>
      <w:pPr>
        <w:pStyle w:val="Heading1"/>
        <w:numPr>
          <w:ilvl w:val="0"/>
          <w:numId w:val="1"/>
        </w:numPr>
        <w:rPr/>
      </w:pPr>
      <w:r>
        <w:rPr/>
        <w:t>12. Oprava a práce s chybou</w:t>
      </w:r>
    </w:p>
    <w:p>
      <w:pPr>
        <w:pStyle w:val="ListBullet"/>
        <w:numPr>
          <w:ilvl w:val="0"/>
          <w:numId w:val="2"/>
        </w:numPr>
        <w:rPr/>
      </w:pPr>
      <w:r>
        <w:rPr/>
        <w:t>žák má být veden k pochopení chyby a k hledání správného postupu;</w:t>
      </w:r>
    </w:p>
    <w:p>
      <w:pPr>
        <w:pStyle w:val="ListBullet"/>
        <w:numPr>
          <w:ilvl w:val="0"/>
          <w:numId w:val="2"/>
        </w:numPr>
        <w:rPr/>
      </w:pPr>
      <w:r>
        <w:rPr/>
        <w:t>podle charakteru úkolu může učitel umožnit opravu nebo přepracování;</w:t>
      </w:r>
    </w:p>
    <w:p>
      <w:pPr>
        <w:pStyle w:val="ListBullet"/>
        <w:numPr>
          <w:ilvl w:val="0"/>
          <w:numId w:val="2"/>
        </w:numPr>
        <w:rPr/>
      </w:pPr>
      <w:r>
        <w:rPr/>
        <w:t>oprava má mít vzdělávací smysl a nemá být pouze formálním přepisem výsledku;</w:t>
      </w:r>
    </w:p>
    <w:p>
      <w:pPr>
        <w:pStyle w:val="ListBullet"/>
        <w:numPr>
          <w:ilvl w:val="0"/>
          <w:numId w:val="2"/>
        </w:numPr>
        <w:rPr/>
      </w:pPr>
      <w:r>
        <w:rPr/>
        <w:t>při závěrečném hodnocení učitel zohledňuje aktuální úroveň zvládnutí učiva.</w:t>
      </w:r>
    </w:p>
    <w:p>
      <w:pPr>
        <w:pStyle w:val="Heading1"/>
        <w:numPr>
          <w:ilvl w:val="0"/>
          <w:numId w:val="1"/>
        </w:numPr>
        <w:rPr/>
      </w:pPr>
      <w:r>
        <w:rPr/>
        <w:t>13. Kritéria pro chování</w:t>
      </w:r>
    </w:p>
    <w:p>
      <w:pPr>
        <w:pStyle w:val="ListBullet"/>
        <w:numPr>
          <w:ilvl w:val="0"/>
          <w:numId w:val="2"/>
        </w:numPr>
        <w:rPr/>
      </w:pPr>
      <w:r>
        <w:rPr/>
        <w:t>dodržování školního řádu a pokynů zaměstnanců školy;</w:t>
      </w:r>
    </w:p>
    <w:p>
      <w:pPr>
        <w:pStyle w:val="ListBullet"/>
        <w:numPr>
          <w:ilvl w:val="0"/>
          <w:numId w:val="2"/>
        </w:numPr>
        <w:rPr/>
      </w:pPr>
      <w:r>
        <w:rPr/>
        <w:t>respekt a ohleduplnost k žákům i dospělým;</w:t>
      </w:r>
    </w:p>
    <w:p>
      <w:pPr>
        <w:pStyle w:val="ListBullet"/>
        <w:numPr>
          <w:ilvl w:val="0"/>
          <w:numId w:val="2"/>
        </w:numPr>
        <w:rPr/>
      </w:pPr>
      <w:r>
        <w:rPr/>
        <w:t>bezpečné jednání a odpovědnost za vlastní jednání;</w:t>
      </w:r>
    </w:p>
    <w:p>
      <w:pPr>
        <w:pStyle w:val="ListBullet"/>
        <w:numPr>
          <w:ilvl w:val="0"/>
          <w:numId w:val="2"/>
        </w:numPr>
        <w:rPr/>
      </w:pPr>
      <w:r>
        <w:rPr/>
        <w:t>ochrana majetku školy a druhých osob;</w:t>
      </w:r>
    </w:p>
    <w:p>
      <w:pPr>
        <w:pStyle w:val="ListBullet"/>
        <w:numPr>
          <w:ilvl w:val="0"/>
          <w:numId w:val="2"/>
        </w:numPr>
        <w:rPr/>
      </w:pPr>
      <w:r>
        <w:rPr/>
        <w:t>řešení konfliktů bez násilí a ponižování;</w:t>
      </w:r>
    </w:p>
    <w:p>
      <w:pPr>
        <w:pStyle w:val="ListBullet"/>
        <w:numPr>
          <w:ilvl w:val="0"/>
          <w:numId w:val="2"/>
        </w:numPr>
        <w:rPr/>
      </w:pPr>
      <w:r>
        <w:rPr/>
        <w:t>odpovědný přístup k docházce a plnění školních povinností.</w:t>
      </w:r>
    </w:p>
    <w:p>
      <w:pPr>
        <w:pStyle w:val="Heading1"/>
        <w:numPr>
          <w:ilvl w:val="0"/>
          <w:numId w:val="1"/>
        </w:numPr>
        <w:rPr/>
      </w:pPr>
      <w:r>
        <w:rPr/>
        <w:t>14. Výchovná opatření</w:t>
      </w:r>
    </w:p>
    <w:p>
      <w:pPr>
        <w:pStyle w:val="Normal"/>
        <w:spacing w:before="0" w:after="80"/>
        <w:rPr/>
      </w:pPr>
      <w:r>
        <w:rPr/>
        <w:t>Při porušení povinností může škola využít přiměřené výchovné působení a kázeňská opatření v mezích právních předpisů a školního řádu. Při rozhodování se přihlíží k závažnosti, četnosti, okolnostem a věku žáka. Závažné jednání se neposuzuje pouze podle počtu předchozích drobných přestupků.</w:t>
      </w:r>
    </w:p>
    <w:p>
      <w:pPr>
        <w:pStyle w:val="Heading1"/>
        <w:numPr>
          <w:ilvl w:val="0"/>
          <w:numId w:val="1"/>
        </w:numPr>
        <w:rPr/>
      </w:pPr>
      <w:r>
        <w:rPr/>
        <w:t>15. Závěrečné ustanovení</w:t>
      </w:r>
    </w:p>
    <w:p>
      <w:pPr>
        <w:pStyle w:val="Normal"/>
        <w:spacing w:before="0" w:after="80"/>
        <w:rPr/>
      </w:pPr>
      <w:r>
        <w:rPr/>
        <w:t>Tato Příloha č. 1A je podrobnějším rozpracováním Přílohy č. 1 ke Školnímu řádu ZŠ Nemojany. Při použití se vždy postupuje v souladu s právními předpisy a s individuálními vzdělávacími potřebami žáka.</w:t>
      </w:r>
    </w:p>
    <w:p>
      <w:pPr>
        <w:pStyle w:val="Normal"/>
        <w:spacing w:before="0" w:after="80"/>
        <w:rPr>
          <w:lang w:val="cs-CZ"/>
        </w:rPr>
      </w:pPr>
      <w:r>
        <w:rPr>
          <w:lang w:val="cs-CZ"/>
        </w:rPr>
      </w:r>
    </w:p>
    <w:p>
      <w:pPr>
        <w:pStyle w:val="Normal"/>
        <w:spacing w:before="0" w:after="80"/>
        <w:rPr>
          <w:lang w:val="cs-CZ"/>
        </w:rPr>
      </w:pPr>
      <w:r>
        <w:rPr/>
        <w:t xml:space="preserve">V Nemojanech dne: </w:t>
      </w:r>
      <w:r>
        <w:rPr>
          <w:lang w:val="cs-CZ"/>
        </w:rPr>
        <w:t>1. 9. 2026</w:t>
      </w:r>
    </w:p>
    <w:p>
      <w:pPr>
        <w:pStyle w:val="Normal"/>
        <w:spacing w:before="0" w:after="160"/>
        <w:rPr/>
      </w:pPr>
      <w:r>
        <w:rPr>
          <w:lang w:val="cs-CZ"/>
        </w:rPr>
        <w:t xml:space="preserve">Mgr. </w:t>
      </w:r>
      <w:bookmarkStart w:id="1" w:name="_GoBack_kopie_1"/>
      <w:bookmarkEnd w:id="1"/>
      <w:r>
        <w:rPr/>
        <w:t xml:space="preserve">Zdeňka Vanderková, ředitelka školy                     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7" w:right="1417" w:gutter="0" w:header="708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Aptos Display">
    <w:charset w:val="ee"/>
    <w:family w:val="roman"/>
    <w:pitch w:val="variable"/>
  </w:font>
  <w:font w:name="Segoe UI">
    <w:charset w:val="ee"/>
    <w:family w:val="swiss"/>
    <w:pitch w:val="variable"/>
  </w:font>
  <w:font w:name="Courier">
    <w:altName w:val="Courier New"/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-1612586751"/>
      <w:docPartObj>
        <w:docPartGallery w:val="Page Numbers (Bottom of Page)"/>
        <w:docPartUnique w:val="true"/>
      </w:docPartObj>
    </w:sdtPr>
    <w:sdtContent>
      <w:p>
        <w:pPr>
          <w:pStyle w:val="Footer"/>
          <w:jc w:val="center"/>
          <w:rPr/>
        </w:pPr>
        <w:bookmarkStart w:id="2" w:name="PageNumWizard_FOOTER_Výchozí_styl_stránk"/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4</w:t>
        </w:r>
        <w:r>
          <w:rPr/>
          <w:fldChar w:fldCharType="end"/>
        </w:r>
        <w:bookmarkEnd w:id="2"/>
      </w:p>
    </w:sdtContent>
  </w:sdt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-1612586751"/>
      <w:docPartObj>
        <w:docPartGallery w:val="Page Numbers (Bottom of Page)"/>
        <w:docPartUnique w:val="true"/>
      </w:docPartObj>
    </w:sdtPr>
    <w:sdtContent>
      <w:p>
        <w:pPr>
          <w:pStyle w:val="Footer"/>
          <w:jc w:val="center"/>
          <w:rPr/>
        </w:pPr>
        <w:bookmarkStart w:id="3" w:name="PageNumWizard_FOOTER_Výchozí_styl_stránk"/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4</w:t>
        </w:r>
        <w:r>
          <w:rPr/>
          <w:fldChar w:fldCharType="end"/>
        </w:r>
        <w:bookmarkEnd w:id="3"/>
      </w:p>
    </w:sdtContent>
  </w:sdt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distT="0" distB="0" distL="114300" distR="114300" simplePos="0" relativeHeight="5" behindDoc="1" locked="0" layoutInCell="0" allowOverlap="1">
          <wp:simplePos x="0" y="0"/>
          <wp:positionH relativeFrom="margin">
            <wp:posOffset>5752465</wp:posOffset>
          </wp:positionH>
          <wp:positionV relativeFrom="margin">
            <wp:posOffset>-686435</wp:posOffset>
          </wp:positionV>
          <wp:extent cx="526415" cy="472440"/>
          <wp:effectExtent l="0" t="0" r="0" b="0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26415" cy="472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distT="0" distB="0" distL="114300" distR="114300" simplePos="0" relativeHeight="5" behindDoc="1" locked="0" layoutInCell="0" allowOverlap="1">
          <wp:simplePos x="0" y="0"/>
          <wp:positionH relativeFrom="margin">
            <wp:posOffset>5752465</wp:posOffset>
          </wp:positionH>
          <wp:positionV relativeFrom="margin">
            <wp:posOffset>-686435</wp:posOffset>
          </wp:positionV>
          <wp:extent cx="526415" cy="472440"/>
          <wp:effectExtent l="0" t="0" r="0" b="0"/>
          <wp:wrapSquare wrapText="bothSides"/>
          <wp:docPr id="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26415" cy="472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s-CZ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cs-CZ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spacing w:before="360" w:after="80"/>
      <w:outlineLvl w:val="0"/>
    </w:pPr>
    <w:rPr>
      <w:rFonts w:ascii="Aptos Display" w:hAnsi="Aptos Display" w:eastAsia="Calibri" w:cs="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qFormat/>
    <w:pPr>
      <w:keepNext w:val="true"/>
      <w:keepLines/>
      <w:spacing w:before="160" w:after="80"/>
      <w:outlineLvl w:val="1"/>
    </w:pPr>
    <w:rPr>
      <w:rFonts w:ascii="Aptos Display" w:hAnsi="Aptos Display" w:eastAsia="Calibri" w:cs="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qFormat/>
    <w:pPr>
      <w:keepNext w:val="true"/>
      <w:keepLines/>
      <w:spacing w:before="160" w:after="80"/>
      <w:outlineLvl w:val="2"/>
    </w:pPr>
    <w:rPr>
      <w:rFonts w:eastAsia="Calibri" w:cs="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qFormat/>
    <w:pPr>
      <w:keepNext w:val="true"/>
      <w:keepLines/>
      <w:spacing w:before="80" w:after="40"/>
      <w:outlineLvl w:val="3"/>
    </w:pPr>
    <w:rPr>
      <w:rFonts w:eastAsia="Calibri" w:cs="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qFormat/>
    <w:pPr>
      <w:keepNext w:val="true"/>
      <w:keepLines/>
      <w:spacing w:before="80" w:after="40"/>
      <w:outlineLvl w:val="4"/>
    </w:pPr>
    <w:rPr>
      <w:rFonts w:eastAsia="Calibri" w:cs=""/>
      <w:color w:themeColor="accent1" w:themeShade="bf" w:val="0F4761"/>
    </w:rPr>
  </w:style>
  <w:style w:type="paragraph" w:styleId="Heading6">
    <w:name w:val="heading 6"/>
    <w:basedOn w:val="Normal"/>
    <w:next w:val="Normal"/>
    <w:qFormat/>
    <w:pPr>
      <w:keepNext w:val="true"/>
      <w:keepLines/>
      <w:spacing w:before="40" w:after="0"/>
      <w:outlineLvl w:val="5"/>
    </w:pPr>
    <w:rPr>
      <w:rFonts w:eastAsia="Calibri" w:cs=""/>
      <w:i/>
      <w:iCs/>
      <w:color w:themeColor="dark1" w:themeTint="a6" w:val="595959"/>
    </w:rPr>
  </w:style>
  <w:style w:type="paragraph" w:styleId="Heading7">
    <w:name w:val="heading 7"/>
    <w:basedOn w:val="Normal"/>
    <w:next w:val="Normal"/>
    <w:qFormat/>
    <w:pPr>
      <w:keepNext w:val="true"/>
      <w:keepLines/>
      <w:spacing w:before="40" w:after="0"/>
      <w:outlineLvl w:val="6"/>
    </w:pPr>
    <w:rPr>
      <w:rFonts w:eastAsia="Calibri" w:cs=""/>
      <w:color w:themeColor="dark1" w:themeTint="a6" w:val="595959"/>
    </w:rPr>
  </w:style>
  <w:style w:type="paragraph" w:styleId="Heading8">
    <w:name w:val="heading 8"/>
    <w:basedOn w:val="Normal"/>
    <w:next w:val="Normal"/>
    <w:qFormat/>
    <w:pPr>
      <w:keepNext w:val="true"/>
      <w:keepLines/>
      <w:spacing w:before="0" w:after="0"/>
      <w:outlineLvl w:val="7"/>
    </w:pPr>
    <w:rPr>
      <w:rFonts w:eastAsia="Calibri" w:cs=""/>
      <w:i/>
      <w:iCs/>
      <w:color w:themeColor="dark1" w:themeTint="d8" w:val="272727"/>
    </w:rPr>
  </w:style>
  <w:style w:type="paragraph" w:styleId="Heading9">
    <w:name w:val="heading 9"/>
    <w:basedOn w:val="Normal"/>
    <w:next w:val="Normal"/>
    <w:qFormat/>
    <w:pPr>
      <w:keepNext w:val="true"/>
      <w:keepLines/>
      <w:spacing w:before="0" w:after="0"/>
      <w:outlineLvl w:val="8"/>
    </w:pPr>
    <w:rPr>
      <w:rFonts w:eastAsia="Calibri" w:cs=""/>
      <w:color w:themeColor="dark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ZhlavChar" w:customStyle="1">
    <w:name w:val="Záhlaví Char"/>
    <w:basedOn w:val="DefaultParagraphFont"/>
    <w:uiPriority w:val="99"/>
    <w:qFormat/>
    <w:rsid w:val="003d745f"/>
    <w:rPr/>
  </w:style>
  <w:style w:type="character" w:styleId="ZpatChar" w:customStyle="1">
    <w:name w:val="Zápatí Char"/>
    <w:basedOn w:val="DefaultParagraphFont"/>
    <w:uiPriority w:val="99"/>
    <w:qFormat/>
    <w:rsid w:val="003d745f"/>
    <w:rPr/>
  </w:style>
  <w:style w:type="character" w:styleId="TextbublinyChar" w:customStyle="1">
    <w:name w:val="Text bubliny Char"/>
    <w:basedOn w:val="DefaultParagraphFont"/>
    <w:link w:val="BalloonText"/>
    <w:uiPriority w:val="99"/>
    <w:semiHidden/>
    <w:qFormat/>
    <w:rsid w:val="00c04987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617cb"/>
    <w:rPr>
      <w:color w:themeColor="hyperlink" w:val="0563C1"/>
      <w:u w:val="single"/>
    </w:rPr>
  </w:style>
  <w:style w:type="character" w:styleId="IntenseReference">
    <w:name w:val="Intense Reference"/>
    <w:basedOn w:val="DefaultParagraphFont"/>
    <w:qFormat/>
    <w:rPr>
      <w:b/>
      <w:bCs/>
      <w:smallCaps/>
      <w:color w:themeColor="accent1" w:themeShade="bf" w:val="0F4761"/>
      <w:spacing w:val="5"/>
    </w:rPr>
  </w:style>
  <w:style w:type="character" w:styleId="VrazncittChar">
    <w:name w:val="Výrazný citát Char"/>
    <w:basedOn w:val="DefaultParagraphFont"/>
    <w:qFormat/>
    <w:rPr>
      <w:i/>
      <w:iCs/>
      <w:color w:themeColor="accent1" w:themeShade="bf" w:val="0F4761"/>
    </w:rPr>
  </w:style>
  <w:style w:type="character" w:styleId="IntenseEmphasis">
    <w:name w:val="Intense Emphasis"/>
    <w:basedOn w:val="DefaultParagraphFont"/>
    <w:qFormat/>
    <w:rPr>
      <w:i/>
      <w:iCs/>
      <w:color w:themeColor="accent1" w:themeShade="bf" w:val="0F4761"/>
    </w:rPr>
  </w:style>
  <w:style w:type="character" w:styleId="CittChar">
    <w:name w:val="Citát Char"/>
    <w:basedOn w:val="DefaultParagraphFont"/>
    <w:qFormat/>
    <w:rPr>
      <w:i/>
      <w:iCs/>
      <w:color w:themeColor="dark1" w:themeTint="bf" w:val="404040"/>
    </w:rPr>
  </w:style>
  <w:style w:type="character" w:styleId="PodnadpisChar">
    <w:name w:val="Podnadpis Char"/>
    <w:basedOn w:val="DefaultParagraphFont"/>
    <w:qFormat/>
    <w:rPr>
      <w:rFonts w:eastAsia="Calibri" w:cs=""/>
      <w:color w:themeColor="dark1" w:themeTint="a6" w:val="595959"/>
      <w:spacing w:val="15"/>
      <w:sz w:val="28"/>
      <w:szCs w:val="28"/>
    </w:rPr>
  </w:style>
  <w:style w:type="character" w:styleId="NzevChar">
    <w:name w:val="Název Char"/>
    <w:basedOn w:val="DefaultParagraphFont"/>
    <w:qFormat/>
    <w:rPr>
      <w:rFonts w:ascii="Aptos Display" w:hAnsi="Aptos Display" w:eastAsia="Calibri" w:cs=""/>
      <w:spacing w:val="-10"/>
      <w:kern w:val="2"/>
      <w:sz w:val="56"/>
      <w:szCs w:val="56"/>
    </w:rPr>
  </w:style>
  <w:style w:type="character" w:styleId="Nadpis9Char">
    <w:name w:val="Nadpis 9 Char"/>
    <w:basedOn w:val="DefaultParagraphFont"/>
    <w:qFormat/>
    <w:rPr>
      <w:rFonts w:eastAsia="Calibri" w:cs=""/>
      <w:color w:themeColor="dark1" w:themeTint="d8" w:val="272727"/>
    </w:rPr>
  </w:style>
  <w:style w:type="character" w:styleId="Nadpis8Char">
    <w:name w:val="Nadpis 8 Char"/>
    <w:basedOn w:val="DefaultParagraphFont"/>
    <w:qFormat/>
    <w:rPr>
      <w:rFonts w:eastAsia="Calibri" w:cs=""/>
      <w:i/>
      <w:iCs/>
      <w:color w:themeColor="dark1" w:themeTint="d8" w:val="272727"/>
    </w:rPr>
  </w:style>
  <w:style w:type="character" w:styleId="Nadpis7Char">
    <w:name w:val="Nadpis 7 Char"/>
    <w:basedOn w:val="DefaultParagraphFont"/>
    <w:qFormat/>
    <w:rPr>
      <w:rFonts w:eastAsia="Calibri" w:cs=""/>
      <w:color w:themeColor="dark1" w:themeTint="a6" w:val="595959"/>
    </w:rPr>
  </w:style>
  <w:style w:type="character" w:styleId="Nadpis6Char">
    <w:name w:val="Nadpis 6 Char"/>
    <w:basedOn w:val="DefaultParagraphFont"/>
    <w:qFormat/>
    <w:rPr>
      <w:rFonts w:eastAsia="Calibri" w:cs=""/>
      <w:i/>
      <w:iCs/>
      <w:color w:themeColor="dark1" w:themeTint="a6" w:val="595959"/>
    </w:rPr>
  </w:style>
  <w:style w:type="character" w:styleId="Nadpis5Char">
    <w:name w:val="Nadpis 5 Char"/>
    <w:basedOn w:val="DefaultParagraphFont"/>
    <w:qFormat/>
    <w:rPr>
      <w:rFonts w:eastAsia="Calibri" w:cs=""/>
      <w:color w:themeColor="accent1" w:themeShade="bf" w:val="0F4761"/>
    </w:rPr>
  </w:style>
  <w:style w:type="character" w:styleId="Nadpis4Char">
    <w:name w:val="Nadpis 4 Char"/>
    <w:basedOn w:val="DefaultParagraphFont"/>
    <w:qFormat/>
    <w:rPr>
      <w:rFonts w:eastAsia="Calibri" w:cs=""/>
      <w:i/>
      <w:iCs/>
      <w:color w:themeColor="accent1" w:themeShade="bf" w:val="0F4761"/>
    </w:rPr>
  </w:style>
  <w:style w:type="character" w:styleId="Nadpis3Char">
    <w:name w:val="Nadpis 3 Char"/>
    <w:basedOn w:val="DefaultParagraphFont"/>
    <w:qFormat/>
    <w:rPr>
      <w:rFonts w:eastAsia="Calibri" w:cs=""/>
      <w:color w:themeColor="accent1" w:themeShade="bf" w:val="0F4761"/>
      <w:sz w:val="28"/>
      <w:szCs w:val="28"/>
    </w:rPr>
  </w:style>
  <w:style w:type="character" w:styleId="Nadpis2Char">
    <w:name w:val="Nadpis 2 Char"/>
    <w:basedOn w:val="DefaultParagraphFont"/>
    <w:qFormat/>
    <w:rPr>
      <w:rFonts w:ascii="Aptos Display" w:hAnsi="Aptos Display" w:eastAsia="Calibri" w:cs=""/>
      <w:color w:themeColor="accent1" w:themeShade="bf" w:val="0F4761"/>
      <w:sz w:val="32"/>
      <w:szCs w:val="32"/>
    </w:rPr>
  </w:style>
  <w:style w:type="character" w:styleId="Nadpis1Char">
    <w:name w:val="Nadpis 1 Char"/>
    <w:basedOn w:val="DefaultParagraphFont"/>
    <w:qFormat/>
    <w:rPr>
      <w:rFonts w:ascii="Aptos Display" w:hAnsi="Aptos Display" w:eastAsia="Calibri" w:cs=""/>
      <w:color w:themeColor="accent1" w:themeShade="bf" w:val="0F4761"/>
      <w:sz w:val="40"/>
      <w:szCs w:val="40"/>
    </w:rPr>
  </w:style>
  <w:style w:type="character" w:styleId="BookTitle">
    <w:name w:val="Book Title"/>
    <w:basedOn w:val="DefaultParagraphFont"/>
    <w:qFormat/>
    <w:rPr>
      <w:b/>
      <w:bCs/>
      <w:smallCaps/>
      <w:spacing w:val="5"/>
    </w:rPr>
  </w:style>
  <w:style w:type="character" w:styleId="SubtleReference">
    <w:name w:val="Subtle Reference"/>
    <w:basedOn w:val="DefaultParagraphFont"/>
    <w:qFormat/>
    <w:rPr>
      <w:smallCaps/>
      <w:color w:themeColor="accent2" w:val="C0504D"/>
      <w:u w:val="single"/>
    </w:rPr>
  </w:style>
  <w:style w:type="character" w:styleId="SubtleEmphasis">
    <w:name w:val="Subtle Emphasis"/>
    <w:basedOn w:val="DefaultParagraphFont"/>
    <w:qFormat/>
    <w:rPr>
      <w:i/>
      <w:iCs/>
      <w:color w:themeColor="dark1" w:themeTint="fe" w:val="808080"/>
      <w14:textFill>
        <w14:solidFill>
          <w14:schemeClr w14:val="dk1">
            <w14:lumMod w14:val="50000"/>
            <w14:lumOff w14:val="50000"/>
          </w14:schemeClr>
        </w14:solidFill>
      </w14:textFill>
    </w:rPr>
  </w:style>
  <w:style w:type="character" w:styleId="IntenseQuoteChar">
    <w:name w:val="Intense Quote Char"/>
    <w:basedOn w:val="DefaultParagraphFont"/>
    <w:qFormat/>
    <w:rPr>
      <w:b/>
      <w:bCs/>
      <w:i/>
      <w:iCs/>
      <w:color w:themeColor="accent1" w:val="4F81BD"/>
    </w:rPr>
  </w:style>
  <w:style w:type="character" w:styleId="Heading9Char">
    <w:name w:val="Heading 9 Char"/>
    <w:basedOn w:val="DefaultParagraphFont"/>
    <w:qFormat/>
    <w:rPr>
      <w:rFonts w:ascii="Calibri" w:hAnsi="Calibri" w:eastAsia="Calibri" w:cs=""/>
      <w:i/>
      <w:iCs/>
      <w:color w:themeColor="dark1" w:themeTint="fe" w:val="404040"/>
      <w:sz w:val="20"/>
      <w:szCs w:val="20"/>
      <w14:textFill>
        <w14:solidFill>
          <w14:schemeClr w14:val="dk1">
            <w14:lumMod w14:val="75000"/>
            <w14:lumOff w14:val="25000"/>
          </w14:schemeClr>
        </w14:solidFill>
      </w14:textFill>
    </w:rPr>
  </w:style>
  <w:style w:type="character" w:styleId="Heading8Char">
    <w:name w:val="Heading 8 Char"/>
    <w:basedOn w:val="DefaultParagraphFont"/>
    <w:qFormat/>
    <w:rPr>
      <w:rFonts w:ascii="Calibri" w:hAnsi="Calibri" w:eastAsia="Calibri" w:cs=""/>
      <w:color w:themeColor="accent1" w:val="4F81BD"/>
      <w:sz w:val="20"/>
      <w:szCs w:val="20"/>
    </w:rPr>
  </w:style>
  <w:style w:type="character" w:styleId="Heading7Char">
    <w:name w:val="Heading 7 Char"/>
    <w:basedOn w:val="DefaultParagraphFont"/>
    <w:qFormat/>
    <w:rPr>
      <w:rFonts w:ascii="Calibri" w:hAnsi="Calibri" w:eastAsia="Calibri" w:cs=""/>
      <w:i/>
      <w:iCs/>
      <w:color w:themeColor="dark1" w:themeTint="fe" w:val="404040"/>
      <w14:textFill>
        <w14:solidFill>
          <w14:schemeClr w14:val="dk1">
            <w14:lumMod w14:val="75000"/>
            <w14:lumOff w14:val="25000"/>
          </w14:schemeClr>
        </w14:solidFill>
      </w14:textFill>
    </w:rPr>
  </w:style>
  <w:style w:type="character" w:styleId="Heading6Char">
    <w:name w:val="Heading 6 Char"/>
    <w:basedOn w:val="DefaultParagraphFont"/>
    <w:qFormat/>
    <w:rPr>
      <w:rFonts w:ascii="Calibri" w:hAnsi="Calibri" w:eastAsia="Calibri" w:cs=""/>
      <w:i/>
      <w:iCs/>
      <w:color w:themeColor="accent1" w:themeShade="80" w:val="254061"/>
    </w:rPr>
  </w:style>
  <w:style w:type="character" w:styleId="Heading5Char">
    <w:name w:val="Heading 5 Char"/>
    <w:basedOn w:val="DefaultParagraphFont"/>
    <w:qFormat/>
    <w:rPr>
      <w:rFonts w:ascii="Calibri" w:hAnsi="Calibri" w:eastAsia="Calibri" w:cs=""/>
      <w:color w:themeColor="accent1" w:themeShade="80" w:val="254061"/>
    </w:rPr>
  </w:style>
  <w:style w:type="character" w:styleId="Heading4Char">
    <w:name w:val="Heading 4 Char"/>
    <w:basedOn w:val="DefaultParagraphFont"/>
    <w:qFormat/>
    <w:rPr>
      <w:rFonts w:ascii="Calibri" w:hAnsi="Calibri" w:eastAsia="Calibri" w:cs=""/>
      <w:b/>
      <w:bCs/>
      <w:i/>
      <w:iCs/>
      <w:color w:themeColor="accent1" w:val="4F81BD"/>
    </w:rPr>
  </w:style>
  <w:style w:type="character" w:styleId="QuoteChar">
    <w:name w:val="Quote Char"/>
    <w:basedOn w:val="DefaultParagraphFont"/>
    <w:qFormat/>
    <w:rPr>
      <w:i/>
      <w:iCs/>
      <w:color w:themeColor="dark1" w:val="000000"/>
    </w:rPr>
  </w:style>
  <w:style w:type="character" w:styleId="MacroTextChar">
    <w:name w:val="Macro Text Char"/>
    <w:basedOn w:val="DefaultParagraphFont"/>
    <w:qFormat/>
    <w:rPr>
      <w:rFonts w:ascii="Courier" w:hAnsi="Courier"/>
      <w:sz w:val="20"/>
      <w:szCs w:val="20"/>
    </w:rPr>
  </w:style>
  <w:style w:type="character" w:styleId="BodyText3Char">
    <w:name w:val="Body Text 3 Char"/>
    <w:basedOn w:val="DefaultParagraphFont"/>
    <w:qFormat/>
    <w:rPr>
      <w:sz w:val="16"/>
      <w:szCs w:val="16"/>
    </w:rPr>
  </w:style>
  <w:style w:type="character" w:styleId="BodyText2Char">
    <w:name w:val="Body Text 2 Char"/>
    <w:basedOn w:val="DefaultParagraphFont"/>
    <w:qFormat/>
    <w:rPr/>
  </w:style>
  <w:style w:type="character" w:styleId="BodyTextChar">
    <w:name w:val="Body Text Char"/>
    <w:basedOn w:val="DefaultParagraphFont"/>
    <w:qFormat/>
    <w:rPr/>
  </w:style>
  <w:style w:type="character" w:styleId="SubtitleChar">
    <w:name w:val="Subtitle Char"/>
    <w:basedOn w:val="DefaultParagraphFont"/>
    <w:qFormat/>
    <w:rPr>
      <w:rFonts w:ascii="Calibri" w:hAnsi="Calibri" w:eastAsia="Calibri" w:cs=""/>
      <w:i/>
      <w:iCs/>
      <w:color w:themeColor="accent1" w:val="4F81BD"/>
      <w:spacing w:val="15"/>
      <w:sz w:val="24"/>
      <w:szCs w:val="24"/>
    </w:rPr>
  </w:style>
  <w:style w:type="character" w:styleId="TitleChar">
    <w:name w:val="Title Char"/>
    <w:basedOn w:val="DefaultParagraphFont"/>
    <w:qFormat/>
    <w:rPr>
      <w:rFonts w:ascii="Calibri" w:hAnsi="Calibri" w:eastAsia="Calibri" w:cs=""/>
      <w:color w:themeColor="dark2" w:themeShade="bf" w:val="17375E"/>
      <w:spacing w:val="5"/>
      <w:kern w:val="2"/>
      <w:sz w:val="52"/>
      <w:szCs w:val="52"/>
    </w:rPr>
  </w:style>
  <w:style w:type="character" w:styleId="Heading3Char">
    <w:name w:val="Heading 3 Char"/>
    <w:basedOn w:val="DefaultParagraphFont"/>
    <w:qFormat/>
    <w:rPr>
      <w:rFonts w:ascii="Calibri" w:hAnsi="Calibri" w:eastAsia="Calibri" w:cs=""/>
      <w:b/>
      <w:bCs/>
      <w:color w:themeColor="accent1" w:val="4F81BD"/>
    </w:rPr>
  </w:style>
  <w:style w:type="character" w:styleId="Heading2Char">
    <w:name w:val="Heading 2 Char"/>
    <w:basedOn w:val="DefaultParagraphFont"/>
    <w:qFormat/>
    <w:rPr>
      <w:rFonts w:ascii="Calibri" w:hAnsi="Calibri" w:eastAsia="Calibri" w:cs=""/>
      <w:b/>
      <w:bCs/>
      <w:color w:themeColor="accent1" w:val="4F81BD"/>
      <w:sz w:val="26"/>
      <w:szCs w:val="26"/>
    </w:rPr>
  </w:style>
  <w:style w:type="character" w:styleId="Heading1Char">
    <w:name w:val="Heading 1 Char"/>
    <w:basedOn w:val="DefaultParagraphFont"/>
    <w:qFormat/>
    <w:rPr>
      <w:rFonts w:ascii="Calibri" w:hAnsi="Calibri" w:eastAsia="Calibri" w:cs=""/>
      <w:b/>
      <w:bCs/>
      <w:color w:themeColor="accent1" w:themeShade="bf" w:val="376092"/>
      <w:sz w:val="28"/>
      <w:szCs w:val="28"/>
    </w:rPr>
  </w:style>
  <w:style w:type="character" w:styleId="FooterChar">
    <w:name w:val="Footer Char"/>
    <w:basedOn w:val="DefaultParagraphFont"/>
    <w:qFormat/>
    <w:rPr/>
  </w:style>
  <w:style w:type="character" w:styleId="HeaderChar">
    <w:name w:val="Header Char"/>
    <w:basedOn w:val="DefaultParagraphFont"/>
    <w:qFormat/>
    <w:rPr/>
  </w:style>
  <w:style w:type="character" w:styleId="Strong">
    <w:name w:val="Strong"/>
    <w:basedOn w:val="DefaultParagraphFont"/>
    <w:qFormat/>
    <w:rPr>
      <w:b/>
      <w:bCs/>
    </w:rPr>
  </w:style>
  <w:style w:type="character" w:styleId="Emphasis">
    <w:name w:val="Emphasis"/>
    <w:basedOn w:val="DefaultParagraphFont"/>
    <w:qFormat/>
    <w:rPr>
      <w:i/>
      <w:iCs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paragraph" w:styleId="Nadpisuser">
    <w:name w:val="Nadpis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Rejstkuser">
    <w:name w:val="Rejstřík (user)"/>
    <w:basedOn w:val="Normal"/>
    <w:qFormat/>
    <w:pPr>
      <w:suppressLineNumbers/>
    </w:pPr>
    <w:rPr>
      <w:rFonts w:cs="Arial"/>
    </w:rPr>
  </w:style>
  <w:style w:type="paragraph" w:styleId="Zhlavazpat">
    <w:name w:val="Záhlaví a zápatí"/>
    <w:basedOn w:val="Normal"/>
    <w:qFormat/>
    <w:pPr/>
    <w:rPr/>
  </w:style>
  <w:style w:type="paragraph" w:styleId="Zhlavazpatuser">
    <w:name w:val="Záhlaví a zápatí (user)"/>
    <w:basedOn w:val="Normal"/>
    <w:qFormat/>
    <w:pPr/>
    <w:rPr/>
  </w:style>
  <w:style w:type="paragraph" w:styleId="Header">
    <w:name w:val="header"/>
    <w:basedOn w:val="Normal"/>
    <w:link w:val="ZhlavChar"/>
    <w:uiPriority w:val="99"/>
    <w:unhideWhenUsed/>
    <w:rsid w:val="003d745f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ZpatChar"/>
    <w:uiPriority w:val="99"/>
    <w:unhideWhenUsed/>
    <w:rsid w:val="003d745f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023ce9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cs-CZ" w:eastAsia="en-US" w:bidi="ar-SA"/>
    </w:rPr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c04987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30279"/>
    <w:pPr>
      <w:spacing w:before="0" w:after="160"/>
      <w:ind w:left="720"/>
      <w:contextualSpacing/>
    </w:pPr>
    <w:rPr/>
  </w:style>
  <w:style w:type="paragraph" w:styleId="Obsahtabulkyuser">
    <w:name w:val="Obsah tabulky (user)"/>
    <w:basedOn w:val="Normal"/>
    <w:qFormat/>
    <w:pPr>
      <w:widowControl w:val="false"/>
      <w:suppressLineNumbers/>
    </w:pPr>
    <w:rPr/>
  </w:style>
  <w:style w:type="paragraph" w:styleId="IntenseQuote">
    <w:name w:val="Intense Quote"/>
    <w:basedOn w:val="Normal"/>
    <w:next w:val="Normal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themeColor="accent1" w:themeShade="bf" w:val="0F4761"/>
    </w:rPr>
  </w:style>
  <w:style w:type="paragraph" w:styleId="Quote">
    <w:name w:val="Quote"/>
    <w:basedOn w:val="Normal"/>
    <w:next w:val="Normal"/>
    <w:qFormat/>
    <w:pPr>
      <w:spacing w:before="160" w:after="160"/>
      <w:jc w:val="center"/>
    </w:pPr>
    <w:rPr>
      <w:i/>
      <w:iCs/>
      <w:color w:themeColor="dark1" w:themeTint="bf" w:val="404040"/>
    </w:rPr>
  </w:style>
  <w:style w:type="paragraph" w:styleId="Subtitle">
    <w:name w:val="Subtitle"/>
    <w:basedOn w:val="Normal"/>
    <w:next w:val="Normal"/>
    <w:qFormat/>
    <w:pPr/>
    <w:rPr>
      <w:rFonts w:eastAsia="Calibri" w:cs=""/>
      <w:color w:themeColor="dark1" w:themeTint="a6" w:val="595959"/>
      <w:spacing w:val="15"/>
      <w:sz w:val="28"/>
      <w:szCs w:val="28"/>
    </w:rPr>
  </w:style>
  <w:style w:type="paragraph" w:styleId="Title">
    <w:name w:val="Title"/>
    <w:basedOn w:val="Normal"/>
    <w:next w:val="Normal"/>
    <w:qFormat/>
    <w:pPr>
      <w:spacing w:lineRule="auto" w:line="240" w:before="0" w:after="80"/>
      <w:contextualSpacing/>
    </w:pPr>
    <w:rPr>
      <w:rFonts w:ascii="Aptos Display" w:hAnsi="Aptos Display" w:eastAsia="Calibri" w:cs=""/>
      <w:spacing w:val="-10"/>
      <w:kern w:val="2"/>
      <w:sz w:val="56"/>
      <w:szCs w:val="56"/>
    </w:rPr>
  </w:style>
  <w:style w:type="paragraph" w:styleId="IndexHeading">
    <w:name w:val="index heading"/>
    <w:basedOn w:val="Nadpisuser"/>
    <w:pPr>
      <w:suppressLineNumbers/>
      <w:ind w:hanging="0" w:left="0"/>
    </w:pPr>
    <w:rPr>
      <w:b/>
      <w:bCs/>
      <w:sz w:val="32"/>
      <w:szCs w:val="32"/>
    </w:rPr>
  </w:style>
  <w:style w:type="paragraph" w:styleId="TOCHeading">
    <w:name w:val="TOC Heading"/>
    <w:basedOn w:val="Heading1"/>
    <w:next w:val="Normal"/>
    <w:qFormat/>
    <w:pPr>
      <w:outlineLvl w:val="9"/>
    </w:pPr>
    <w:rPr/>
  </w:style>
  <w:style w:type="paragraph" w:styleId="MacroText">
    <w:name w:val="macro"/>
    <w:qFormat/>
    <w:pPr>
      <w:widowControl/>
      <w:tabs>
        <w:tab w:val="clear" w:pos="708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left"/>
    </w:pPr>
    <w:rPr>
      <w:rFonts w:ascii="Courier" w:hAnsi="Courier" w:eastAsia="Calibri" w:cs="" w:cstheme="minorBidi" w:eastAsiaTheme="minorHAnsi"/>
      <w:color w:val="auto"/>
      <w:kern w:val="0"/>
      <w:sz w:val="20"/>
      <w:szCs w:val="20"/>
      <w:lang w:val="en-US" w:eastAsia="en-US" w:bidi="ar-SA"/>
    </w:rPr>
  </w:style>
  <w:style w:type="paragraph" w:styleId="ListNumber3">
    <w:name w:val="List Number 3"/>
    <w:basedOn w:val="Normal"/>
    <w:pPr>
      <w:numPr>
        <w:ilvl w:val="0"/>
        <w:numId w:val="8"/>
      </w:numPr>
      <w:spacing w:before="0" w:after="200"/>
      <w:contextualSpacing/>
    </w:pPr>
    <w:rPr/>
  </w:style>
  <w:style w:type="paragraph" w:styleId="ListNumber2">
    <w:name w:val="List Number 2"/>
    <w:basedOn w:val="Normal"/>
    <w:pPr>
      <w:numPr>
        <w:ilvl w:val="0"/>
        <w:numId w:val="7"/>
      </w:numPr>
      <w:spacing w:before="0" w:after="200"/>
      <w:contextualSpacing/>
    </w:pPr>
    <w:rPr/>
  </w:style>
  <w:style w:type="paragraph" w:styleId="ListNumber">
    <w:name w:val="List Number"/>
    <w:basedOn w:val="Normal"/>
    <w:pPr>
      <w:numPr>
        <w:ilvl w:val="0"/>
        <w:numId w:val="6"/>
      </w:numPr>
      <w:spacing w:before="0" w:after="200"/>
      <w:contextualSpacing/>
    </w:pPr>
    <w:rPr/>
  </w:style>
  <w:style w:type="paragraph" w:styleId="ListContinue3">
    <w:name w:val="List Continue 3"/>
    <w:basedOn w:val="Normal"/>
    <w:pPr>
      <w:spacing w:before="0" w:after="120"/>
      <w:ind w:left="1080"/>
      <w:contextualSpacing/>
    </w:pPr>
    <w:rPr/>
  </w:style>
  <w:style w:type="paragraph" w:styleId="ListContinue2">
    <w:name w:val="List Continue 2"/>
    <w:basedOn w:val="Normal"/>
    <w:pPr>
      <w:spacing w:before="0" w:after="120"/>
      <w:ind w:left="720"/>
      <w:contextualSpacing/>
    </w:pPr>
    <w:rPr/>
  </w:style>
  <w:style w:type="paragraph" w:styleId="ListContinue">
    <w:name w:val="List Continue"/>
    <w:basedOn w:val="Normal"/>
    <w:pPr>
      <w:spacing w:before="0" w:after="120"/>
      <w:ind w:left="360"/>
      <w:contextualSpacing/>
    </w:pPr>
    <w:rPr/>
  </w:style>
  <w:style w:type="paragraph" w:styleId="ListBullet3">
    <w:name w:val="List Bullet 3"/>
    <w:basedOn w:val="Normal"/>
    <w:pPr>
      <w:numPr>
        <w:ilvl w:val="0"/>
        <w:numId w:val="5"/>
      </w:numPr>
      <w:spacing w:before="0" w:after="200"/>
      <w:contextualSpacing/>
    </w:pPr>
    <w:rPr/>
  </w:style>
  <w:style w:type="paragraph" w:styleId="ListBullet2">
    <w:name w:val="List Bullet 2"/>
    <w:basedOn w:val="Normal"/>
    <w:pPr>
      <w:numPr>
        <w:ilvl w:val="0"/>
        <w:numId w:val="4"/>
      </w:numPr>
      <w:spacing w:before="0" w:after="200"/>
      <w:contextualSpacing/>
    </w:pPr>
    <w:rPr/>
  </w:style>
  <w:style w:type="paragraph" w:styleId="ListBullet">
    <w:name w:val="List Bullet"/>
    <w:basedOn w:val="Normal"/>
    <w:pPr>
      <w:numPr>
        <w:ilvl w:val="0"/>
        <w:numId w:val="3"/>
      </w:numPr>
      <w:spacing w:before="0" w:after="200"/>
      <w:contextualSpacing/>
    </w:pPr>
    <w:rPr/>
  </w:style>
  <w:style w:type="paragraph" w:styleId="List3">
    <w:name w:val="List 3"/>
    <w:basedOn w:val="Normal"/>
    <w:qFormat/>
    <w:pPr>
      <w:spacing w:before="0" w:after="200"/>
      <w:ind w:hanging="360" w:left="1080"/>
      <w:contextualSpacing/>
    </w:pPr>
    <w:rPr/>
  </w:style>
  <w:style w:type="paragraph" w:styleId="List2">
    <w:name w:val="List 2"/>
    <w:basedOn w:val="Normal"/>
    <w:qFormat/>
    <w:pPr>
      <w:spacing w:before="0" w:after="200"/>
      <w:ind w:hanging="360" w:left="720"/>
      <w:contextualSpacing/>
    </w:pPr>
    <w:rPr/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</w:rPr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numbering" w:styleId="Bezseznamu" w:default="1">
    <w:name w:val="Bez seznamu"/>
    <w:uiPriority w:val="99"/>
    <w:semiHidden/>
    <w:unhideWhenUsed/>
    <w:qFormat/>
  </w:style>
  <w:style w:type="numbering" w:styleId="Bezseznamuuser">
    <w:name w:val="Bez seznamu (user)"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Mkatabulky">
    <w:name w:val="Table Grid"/>
    <w:basedOn w:val="Normlntabulka"/>
    <w:uiPriority w:val="39"/>
    <w:rsid w:val="008d486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Motiv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Application>LibreOffice/26.2.5.2$Windows_X86_64 LibreOffice_project/cd7284b4cbbfeb507e630c1aac019f4157393acb</Application>
  <AppVersion>15.0000</AppVersion>
  <Pages>2</Pages>
  <Words>780</Words>
  <Characters>4772</Characters>
  <CharactersWithSpaces>5470</CharactersWithSpaces>
  <Paragraphs>105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2026-08-04T08:45:00Z</dcterms:created>
  <dc:creator>reditelna</dc:creator>
  <dc:description/>
  <dc:language>cs-CZ</dc:language>
  <cp:lastModifiedBy/>
  <cp:lastPrinted>2026-09-14T16:35:34Z</cp:lastPrinted>
  <dcterms:modified xsi:type="dcterms:W3CDTF">2026-09-15T12:06:21Z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