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sz w:val="28"/>
          <w:szCs w:val="28"/>
        </w:rPr>
      </w:pPr>
      <w:bookmarkStart w:id="0" w:name="_GoBack"/>
      <w:bookmarkEnd w:id="0"/>
      <w:r>
        <w:rPr>
          <w:b/>
          <w:bCs/>
          <w:sz w:val="28"/>
          <w:szCs w:val="28"/>
        </w:rPr>
        <w:t>Základní škola a Mateřská škola Nemojany</w:t>
      </w:r>
      <w:r>
        <w:rPr>
          <w:sz w:val="28"/>
          <w:szCs w:val="28"/>
        </w:rPr>
        <w:t xml:space="preserve">, </w:t>
      </w:r>
    </w:p>
    <w:p>
      <w:pPr>
        <w:pStyle w:val="NoSpacing"/>
        <w:jc w:val="center"/>
        <w:rPr/>
      </w:pPr>
      <w:r>
        <w:rPr/>
        <w:t>okres Vyškov,</w:t>
      </w:r>
    </w:p>
    <w:p>
      <w:pPr>
        <w:pStyle w:val="NoSpacing"/>
        <w:pBdr>
          <w:bottom w:val="single" w:sz="12" w:space="1" w:color="000000"/>
        </w:pBdr>
        <w:jc w:val="center"/>
        <w:rPr/>
      </w:pPr>
      <w:r>
        <w:rPr/>
        <w:t>příspěvková organizace, Nemojany 113, 683 03 Luleč</w:t>
      </w:r>
    </w:p>
    <w:p>
      <w:pPr>
        <w:pStyle w:val="NoSpacing"/>
        <w:pBdr>
          <w:bottom w:val="single" w:sz="12" w:space="1" w:color="000000"/>
        </w:pBdr>
        <w:jc w:val="center"/>
        <w:rPr/>
      </w:pPr>
      <w:r>
        <w:rPr/>
        <w:t>IČO 70 989 842</w:t>
      </w:r>
    </w:p>
    <w:p>
      <w:pPr>
        <w:pStyle w:val="NoSpacing"/>
        <w:pBdr>
          <w:bottom w:val="single" w:sz="12" w:space="1" w:color="000000"/>
        </w:pBdr>
        <w:jc w:val="center"/>
        <w:rPr>
          <w:rFonts w:ascii="Calibri" w:hAnsi="Calibri"/>
          <w:b/>
          <w:bCs/>
          <w:i/>
          <w:iCs/>
          <w:sz w:val="32"/>
          <w:szCs w:val="32"/>
        </w:rPr>
      </w:pPr>
      <w:r>
        <w:rPr>
          <w:b/>
          <w:bCs/>
          <w:i/>
          <w:iCs/>
          <w:sz w:val="32"/>
          <w:szCs w:val="32"/>
        </w:rPr>
      </w:r>
    </w:p>
    <w:p>
      <w:pPr>
        <w:pStyle w:val="Heading1"/>
        <w:keepNext w:val="true"/>
        <w:keepLines/>
        <w:spacing w:before="360" w:after="80"/>
        <w:rPr/>
      </w:pPr>
      <w:bookmarkStart w:id="1" w:name="_GoBack_kopie_1"/>
      <w:bookmarkEnd w:id="1"/>
      <w:r>
        <w:rPr/>
        <w:t xml:space="preserve">           </w:t>
      </w:r>
      <w:bookmarkStart w:id="2" w:name="X6eaf84c4689bd0d0f1005ffe1a26131d469274f"/>
      <w:r>
        <w:rPr/>
        <w:t xml:space="preserve">PRAVIDLA PRO HODNOCENÍ VÝSLEDKŮ    </w:t>
      </w:r>
    </w:p>
    <w:p>
      <w:pPr>
        <w:pStyle w:val="Heading1"/>
        <w:spacing w:before="360" w:after="80"/>
        <w:rPr/>
      </w:pPr>
      <w:r>
        <w:rPr/>
        <w:t xml:space="preserve">                            </w:t>
      </w:r>
      <w:r>
        <w:rPr/>
        <w:t>VZDĚLÁVÁNÍ ŽÁKŮ</w:t>
      </w:r>
    </w:p>
    <w:p>
      <w:pPr>
        <w:pStyle w:val="Heading2"/>
        <w:rPr/>
      </w:pPr>
      <w:r>
        <w:rPr/>
        <w:t xml:space="preserve">                                        </w:t>
      </w:r>
      <w:bookmarkStart w:id="3" w:name="klasifikační-řád"/>
      <w:r>
        <w:rPr/>
        <w:t>KLASIFIKAČNÍ ŘÁD</w:t>
      </w:r>
    </w:p>
    <w:p>
      <w:pPr>
        <w:pStyle w:val="FirstParagraph"/>
        <w:rPr/>
      </w:pPr>
      <w:r>
        <w:rPr>
          <w:b/>
          <w:bCs/>
        </w:rPr>
        <w:t>Příloha školního řádu</w:t>
      </w:r>
    </w:p>
    <w:p>
      <w:pPr>
        <w:pStyle w:val="Normal"/>
        <w:rPr/>
      </w:pPr>
      <w:r>
        <w:rPr/>
        <mc:AlternateContent>
          <mc:Choice Requires="wps">
            <w:drawing>
              <wp:inline distT="0" distB="0" distL="0" distR="0">
                <wp:extent cx="5943600" cy="19050"/>
                <wp:effectExtent l="0" t="0" r="0" b="0"/>
                <wp:docPr id="1" name="Tvar1"/>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3"/>
    </w:p>
    <w:p>
      <w:pPr>
        <w:pStyle w:val="Heading2"/>
        <w:rPr/>
      </w:pPr>
      <w:bookmarkStart w:id="4" w:name="úvodní-ustanovení"/>
      <w:r>
        <w:rPr/>
        <w:t>Úvodní ustanovení</w:t>
      </w:r>
    </w:p>
    <w:p>
      <w:pPr>
        <w:pStyle w:val="FirstParagraph"/>
        <w:rPr/>
      </w:pPr>
      <w:r>
        <w:rPr/>
        <w:t>Tato pravidla pro hodnocení výsledků vzdělávání žáků jsou zpracována v souladu se zákonem č. 561/2004 Sb., o předškolním, základním, středním, vyšším odborném a jiném vzdělávání (školský zákon), ve znění pozdějších předpisů, zejména § 30 a § 51 až § 53, a v návaznosti na vyhlášku č. 48/2005 Sb., o základním vzdělávání a některých náležitostech plnění povinné školní docházky, ve znění pozdějších předpisů, a vyhlášku č. 27/2016 Sb., o vzdělávání žáků se speciálními vzdělávacími potřebami a žáků nadaných, ve znění pozdějších předpisů.</w:t>
      </w:r>
    </w:p>
    <w:p>
      <w:pPr>
        <w:pStyle w:val="BodyText"/>
        <w:rPr/>
      </w:pPr>
      <w:r>
        <w:rPr/>
        <w:t>Tato pravidla jsou součástí školního řádu Základní školy a Mateřské školy Nemojany.</w:t>
      </w:r>
    </w:p>
    <w:p>
      <w:pPr>
        <w:pStyle w:val="BodyText"/>
        <w:rPr/>
      </w:pPr>
      <w:r>
        <w:rPr/>
        <w:t>Hodnocení výsledků vzdělávání žáků je nedílnou součástí vzdělávacího procesu. Jeho účelem je poskytovat žákovi srozumitelnou zpětnou vazbu o úrovni jeho vědomostí, dovedností, schopností a pracovních návyků, podporovat jeho motivaci k učení a současně poskytovat zákonným zástupcům informace o průběhu a výsledcích vzdělávání.</w:t>
      </w:r>
    </w:p>
    <w:p>
      <w:pPr>
        <w:pStyle w:val="BodyText"/>
        <w:rPr/>
      </w:pPr>
      <w:r>
        <w:rPr/>
        <w:t>Hodnocení vychází z předem stanovených kritérií, přihlíží k individuálním možnostem žáka a respektuje jeho vzdělávací potřeby.</w:t>
      </w:r>
    </w:p>
    <w:p>
      <w:pPr>
        <w:pStyle w:val="Normal"/>
        <w:rPr/>
      </w:pPr>
      <w:r>
        <w:rPr/>
        <mc:AlternateContent>
          <mc:Choice Requires="wps">
            <w:drawing>
              <wp:inline distT="0" distB="0" distL="0" distR="0">
                <wp:extent cx="5943600" cy="19050"/>
                <wp:effectExtent l="0" t="0" r="0" b="0"/>
                <wp:docPr id="2" name="Tvar2"/>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2"/>
      <w:bookmarkEnd w:id="4"/>
    </w:p>
    <w:p>
      <w:pPr>
        <w:pStyle w:val="Heading1"/>
        <w:rPr/>
      </w:pPr>
      <w:bookmarkStart w:id="5" w:name="X304069d63d32a9382fd46e26d5252e9e72ba515"/>
      <w:r>
        <w:rPr/>
        <w:t>1. Zásady hodnocení průběhu a výsledků vzdělávání a chování žáků</w:t>
      </w:r>
    </w:p>
    <w:p>
      <w:pPr>
        <w:pStyle w:val="Normal"/>
        <w:numPr>
          <w:ilvl w:val="0"/>
          <w:numId w:val="29"/>
        </w:numPr>
        <w:rPr/>
      </w:pPr>
      <w:r>
        <w:rPr/>
        <w:t>Pedagogičtí pracovníci zajišťují, aby žáci a jejich zákonní zástupci byli průběžně a včas informováni o průběhu a výsledcích vzdělávání.</w:t>
      </w:r>
    </w:p>
    <w:p>
      <w:pPr>
        <w:pStyle w:val="Normal"/>
        <w:numPr>
          <w:ilvl w:val="0"/>
          <w:numId w:val="30"/>
        </w:numPr>
        <w:rPr/>
      </w:pPr>
      <w:r>
        <w:rPr/>
        <w:t>Hodnocení průběhu a výsledků vzdělávání a chování žáka musí být:</w:t>
      </w:r>
    </w:p>
    <w:p>
      <w:pPr>
        <w:pStyle w:val="Compact"/>
        <w:numPr>
          <w:ilvl w:val="1"/>
          <w:numId w:val="2"/>
        </w:numPr>
        <w:rPr/>
      </w:pPr>
      <w:r>
        <w:rPr/>
        <w:t>jednoznačné,</w:t>
      </w:r>
    </w:p>
    <w:p>
      <w:pPr>
        <w:pStyle w:val="Compact"/>
        <w:numPr>
          <w:ilvl w:val="1"/>
          <w:numId w:val="2"/>
        </w:numPr>
        <w:rPr/>
      </w:pPr>
      <w:r>
        <w:rPr/>
        <w:t>věcné,</w:t>
      </w:r>
    </w:p>
    <w:p>
      <w:pPr>
        <w:pStyle w:val="Compact"/>
        <w:numPr>
          <w:ilvl w:val="1"/>
          <w:numId w:val="2"/>
        </w:numPr>
        <w:rPr/>
      </w:pPr>
      <w:r>
        <w:rPr/>
        <w:t>srozumitelné,</w:t>
      </w:r>
    </w:p>
    <w:p>
      <w:pPr>
        <w:pStyle w:val="Compact"/>
        <w:numPr>
          <w:ilvl w:val="1"/>
          <w:numId w:val="2"/>
        </w:numPr>
        <w:rPr/>
      </w:pPr>
      <w:r>
        <w:rPr/>
        <w:t>přiměřené věku a individuálním možnostem žáka,</w:t>
      </w:r>
    </w:p>
    <w:p>
      <w:pPr>
        <w:pStyle w:val="Compact"/>
        <w:numPr>
          <w:ilvl w:val="1"/>
          <w:numId w:val="2"/>
        </w:numPr>
        <w:rPr/>
      </w:pPr>
      <w:r>
        <w:rPr/>
        <w:t>založené na předem stanovených kritériích,</w:t>
      </w:r>
    </w:p>
    <w:p>
      <w:pPr>
        <w:pStyle w:val="Compact"/>
        <w:numPr>
          <w:ilvl w:val="1"/>
          <w:numId w:val="2"/>
        </w:numPr>
        <w:rPr/>
      </w:pPr>
      <w:r>
        <w:rPr/>
        <w:t>odůvodnitelné a průkazné.</w:t>
      </w:r>
    </w:p>
    <w:p>
      <w:pPr>
        <w:pStyle w:val="Normal"/>
        <w:numPr>
          <w:ilvl w:val="0"/>
          <w:numId w:val="31"/>
        </w:numPr>
        <w:rPr/>
      </w:pPr>
      <w:r>
        <w:rPr/>
        <w:t>Při hodnocení žáka uplatňuje učitel individuální přístup, pedagogický takt a přihlíží zejména k:</w:t>
      </w:r>
    </w:p>
    <w:p>
      <w:pPr>
        <w:pStyle w:val="Compact"/>
        <w:numPr>
          <w:ilvl w:val="1"/>
          <w:numId w:val="2"/>
        </w:numPr>
        <w:rPr/>
      </w:pPr>
      <w:r>
        <w:rPr/>
        <w:t>věkovým zvláštnostem žáka,</w:t>
      </w:r>
    </w:p>
    <w:p>
      <w:pPr>
        <w:pStyle w:val="Compact"/>
        <w:numPr>
          <w:ilvl w:val="1"/>
          <w:numId w:val="2"/>
        </w:numPr>
        <w:rPr/>
      </w:pPr>
      <w:r>
        <w:rPr/>
        <w:t>jeho vzdělávacím a osobnostním předpokladům,</w:t>
      </w:r>
    </w:p>
    <w:p>
      <w:pPr>
        <w:pStyle w:val="Compact"/>
        <w:numPr>
          <w:ilvl w:val="1"/>
          <w:numId w:val="2"/>
        </w:numPr>
        <w:rPr/>
      </w:pPr>
      <w:r>
        <w:rPr/>
        <w:t>jeho individuálním vzdělávacím potřebám,</w:t>
      </w:r>
    </w:p>
    <w:p>
      <w:pPr>
        <w:pStyle w:val="Compact"/>
        <w:numPr>
          <w:ilvl w:val="1"/>
          <w:numId w:val="2"/>
        </w:numPr>
        <w:rPr/>
      </w:pPr>
      <w:r>
        <w:rPr/>
        <w:t>doporučeným podpůrným opatřením,</w:t>
      </w:r>
    </w:p>
    <w:p>
      <w:pPr>
        <w:pStyle w:val="Compact"/>
        <w:numPr>
          <w:ilvl w:val="1"/>
          <w:numId w:val="2"/>
        </w:numPr>
        <w:rPr/>
      </w:pPr>
      <w:r>
        <w:rPr/>
        <w:t>jeho přístupu ke vzdělávání,</w:t>
      </w:r>
    </w:p>
    <w:p>
      <w:pPr>
        <w:pStyle w:val="Compact"/>
        <w:numPr>
          <w:ilvl w:val="1"/>
          <w:numId w:val="2"/>
        </w:numPr>
        <w:rPr/>
      </w:pPr>
      <w:r>
        <w:rPr/>
        <w:t>jeho píli a aktivitě,</w:t>
      </w:r>
    </w:p>
    <w:p>
      <w:pPr>
        <w:pStyle w:val="Compact"/>
        <w:numPr>
          <w:ilvl w:val="1"/>
          <w:numId w:val="2"/>
        </w:numPr>
        <w:rPr/>
      </w:pPr>
      <w:r>
        <w:rPr/>
        <w:t>okolnostem, které mohou ovlivňovat jeho výkon.</w:t>
      </w:r>
    </w:p>
    <w:p>
      <w:pPr>
        <w:pStyle w:val="Normal"/>
        <w:numPr>
          <w:ilvl w:val="0"/>
          <w:numId w:val="32"/>
        </w:numPr>
        <w:rPr/>
      </w:pPr>
      <w:r>
        <w:rPr/>
        <w:t>Hodnocení nesmí být založeno pouze na porovnávání žáků mezi sebou.</w:t>
      </w:r>
    </w:p>
    <w:p>
      <w:pPr>
        <w:pStyle w:val="Normal"/>
        <w:numPr>
          <w:ilvl w:val="0"/>
          <w:numId w:val="33"/>
        </w:numPr>
        <w:rPr/>
      </w:pPr>
      <w:r>
        <w:rPr/>
        <w:t>Hodnocení má především charakter zpětné vazby a má podporovat další učení žáka.</w:t>
      </w:r>
    </w:p>
    <w:p>
      <w:pPr>
        <w:pStyle w:val="Normal"/>
        <w:numPr>
          <w:ilvl w:val="0"/>
          <w:numId w:val="34"/>
        </w:numPr>
        <w:rPr/>
      </w:pPr>
      <w:r>
        <w:rPr/>
        <w:t>Pedagogičtí pracovníci využívají vedle klasifikace také prvky formativního hodnocení.</w:t>
      </w:r>
    </w:p>
    <w:p>
      <w:pPr>
        <w:pStyle w:val="Normal"/>
        <w:numPr>
          <w:ilvl w:val="0"/>
          <w:numId w:val="35"/>
        </w:numPr>
        <w:rPr/>
      </w:pPr>
      <w:r>
        <w:rPr/>
        <w:t>Při hodnocení výsledků vzdělávání žáka se zohledňuje jeho individuální vzdělávací pokrok.</w:t>
      </w:r>
    </w:p>
    <w:p>
      <w:pPr>
        <w:pStyle w:val="Normal"/>
        <w:numPr>
          <w:ilvl w:val="0"/>
          <w:numId w:val="36"/>
        </w:numPr>
        <w:rPr/>
      </w:pPr>
      <w:r>
        <w:rPr/>
        <w:t>Chyba je chápána jako přirozená součást procesu učení a jako příležitost k dalšímu učení.</w:t>
      </w:r>
    </w:p>
    <w:p>
      <w:pPr>
        <w:pStyle w:val="Normal"/>
        <w:numPr>
          <w:ilvl w:val="0"/>
          <w:numId w:val="37"/>
        </w:numPr>
        <w:rPr/>
      </w:pPr>
      <w:r>
        <w:rPr/>
        <w:t>Hodnocení chování vychází z dodržování pravidel stanovených školním řádem a zohledňuje věk, rozumovou a mravní vyspělost žáka.</w:t>
      </w:r>
    </w:p>
    <w:p>
      <w:pPr>
        <w:pStyle w:val="Normal"/>
        <w:rPr/>
      </w:pPr>
      <w:r>
        <w:rPr/>
        <mc:AlternateContent>
          <mc:Choice Requires="wps">
            <w:drawing>
              <wp:inline distT="0" distB="0" distL="0" distR="0">
                <wp:extent cx="5943600" cy="19050"/>
                <wp:effectExtent l="0" t="0" r="0" b="0"/>
                <wp:docPr id="3" name="Tvar3"/>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5"/>
    </w:p>
    <w:p>
      <w:pPr>
        <w:pStyle w:val="Heading1"/>
        <w:rPr/>
      </w:pPr>
      <w:bookmarkStart w:id="6" w:name="pravidla-pro-sebehodnocení-žáků"/>
      <w:r>
        <w:rPr/>
        <w:t>2. Pravidla pro sebehodnocení žáků</w:t>
      </w:r>
    </w:p>
    <w:p>
      <w:pPr>
        <w:pStyle w:val="Normal"/>
        <w:numPr>
          <w:ilvl w:val="0"/>
          <w:numId w:val="38"/>
        </w:numPr>
        <w:rPr/>
      </w:pPr>
      <w:r>
        <w:rPr/>
        <w:t>Sebehodnocení je přirozenou součástí hodnocení vzdělávání žáků.</w:t>
      </w:r>
    </w:p>
    <w:p>
      <w:pPr>
        <w:pStyle w:val="Normal"/>
        <w:numPr>
          <w:ilvl w:val="0"/>
          <w:numId w:val="39"/>
        </w:numPr>
        <w:rPr/>
      </w:pPr>
      <w:r>
        <w:rPr/>
        <w:t>Sebehodnocení podporuje:</w:t>
      </w:r>
    </w:p>
    <w:p>
      <w:pPr>
        <w:pStyle w:val="Compact"/>
        <w:numPr>
          <w:ilvl w:val="1"/>
          <w:numId w:val="2"/>
        </w:numPr>
        <w:rPr/>
      </w:pPr>
      <w:r>
        <w:rPr/>
        <w:t>odpovědnost žáka za vlastní vzdělávání,</w:t>
      </w:r>
    </w:p>
    <w:p>
      <w:pPr>
        <w:pStyle w:val="Compact"/>
        <w:numPr>
          <w:ilvl w:val="1"/>
          <w:numId w:val="2"/>
        </w:numPr>
        <w:rPr/>
      </w:pPr>
      <w:r>
        <w:rPr/>
        <w:t>schopnost uvědomovat si vlastní pokrok,</w:t>
      </w:r>
    </w:p>
    <w:p>
      <w:pPr>
        <w:pStyle w:val="Compact"/>
        <w:numPr>
          <w:ilvl w:val="1"/>
          <w:numId w:val="2"/>
        </w:numPr>
        <w:rPr/>
      </w:pPr>
      <w:r>
        <w:rPr/>
        <w:t>schopnost pojmenovat své silné a slabé stránky,</w:t>
      </w:r>
    </w:p>
    <w:p>
      <w:pPr>
        <w:pStyle w:val="Compact"/>
        <w:numPr>
          <w:ilvl w:val="1"/>
          <w:numId w:val="2"/>
        </w:numPr>
        <w:rPr/>
      </w:pPr>
      <w:r>
        <w:rPr/>
        <w:t>schopnost stanovovat si další cíle,</w:t>
      </w:r>
    </w:p>
    <w:p>
      <w:pPr>
        <w:pStyle w:val="Compact"/>
        <w:numPr>
          <w:ilvl w:val="1"/>
          <w:numId w:val="2"/>
        </w:numPr>
        <w:rPr/>
      </w:pPr>
      <w:r>
        <w:rPr/>
        <w:t>zdravé sebevědomí a sebeúctu.</w:t>
      </w:r>
    </w:p>
    <w:p>
      <w:pPr>
        <w:pStyle w:val="Normal"/>
        <w:numPr>
          <w:ilvl w:val="0"/>
          <w:numId w:val="40"/>
        </w:numPr>
        <w:rPr/>
      </w:pPr>
      <w:r>
        <w:rPr/>
        <w:t>Učitel vytváří vhodné podmínky pro to, aby se žáci postupně učili hodnotit vlastní práci realisticky a přiměřeně svému věku.</w:t>
      </w:r>
    </w:p>
    <w:p>
      <w:pPr>
        <w:pStyle w:val="Normal"/>
        <w:numPr>
          <w:ilvl w:val="0"/>
          <w:numId w:val="41"/>
        </w:numPr>
        <w:rPr/>
      </w:pPr>
      <w:r>
        <w:rPr/>
        <w:t>Způsob sebehodnocení odpovídá věku, schopnostem a vzdělávacím potřebám žáka.</w:t>
      </w:r>
    </w:p>
    <w:p>
      <w:pPr>
        <w:pStyle w:val="Normal"/>
        <w:numPr>
          <w:ilvl w:val="0"/>
          <w:numId w:val="42"/>
        </w:numPr>
        <w:rPr/>
      </w:pPr>
      <w:r>
        <w:rPr/>
        <w:t>Žák se při sebehodnocení podle svých možností vyjadřuje zejména k tomu:</w:t>
      </w:r>
    </w:p>
    <w:p>
      <w:pPr>
        <w:pStyle w:val="Compact"/>
        <w:numPr>
          <w:ilvl w:val="1"/>
          <w:numId w:val="2"/>
        </w:numPr>
        <w:rPr/>
      </w:pPr>
      <w:r>
        <w:rPr/>
        <w:t>co se mu podařilo,</w:t>
      </w:r>
    </w:p>
    <w:p>
      <w:pPr>
        <w:pStyle w:val="Compact"/>
        <w:numPr>
          <w:ilvl w:val="1"/>
          <w:numId w:val="2"/>
        </w:numPr>
        <w:rPr/>
      </w:pPr>
      <w:r>
        <w:rPr/>
        <w:t>co se mu nedaří,</w:t>
      </w:r>
    </w:p>
    <w:p>
      <w:pPr>
        <w:pStyle w:val="Compact"/>
        <w:numPr>
          <w:ilvl w:val="1"/>
          <w:numId w:val="2"/>
        </w:numPr>
        <w:rPr/>
      </w:pPr>
      <w:r>
        <w:rPr/>
        <w:t>v čem se zlepšil,</w:t>
      </w:r>
    </w:p>
    <w:p>
      <w:pPr>
        <w:pStyle w:val="Compact"/>
        <w:numPr>
          <w:ilvl w:val="1"/>
          <w:numId w:val="2"/>
        </w:numPr>
        <w:rPr/>
      </w:pPr>
      <w:r>
        <w:rPr/>
        <w:t>co potřebuje procvičit,</w:t>
      </w:r>
    </w:p>
    <w:p>
      <w:pPr>
        <w:pStyle w:val="Compact"/>
        <w:numPr>
          <w:ilvl w:val="1"/>
          <w:numId w:val="2"/>
        </w:numPr>
        <w:rPr/>
      </w:pPr>
      <w:r>
        <w:rPr/>
        <w:t>jaké má rezervy,</w:t>
      </w:r>
    </w:p>
    <w:p>
      <w:pPr>
        <w:pStyle w:val="Compact"/>
        <w:numPr>
          <w:ilvl w:val="1"/>
          <w:numId w:val="2"/>
        </w:numPr>
        <w:rPr/>
      </w:pPr>
      <w:r>
        <w:rPr/>
        <w:t>co udělá pro své další zlepšení.</w:t>
      </w:r>
    </w:p>
    <w:p>
      <w:pPr>
        <w:pStyle w:val="Normal"/>
        <w:numPr>
          <w:ilvl w:val="0"/>
          <w:numId w:val="43"/>
        </w:numPr>
        <w:rPr/>
      </w:pPr>
      <w:r>
        <w:rPr/>
        <w:t>Sebehodnocení může být realizováno ústně, písemně, prostřednictvím pracovních listů, hodnoticích škál, portfolia, rozhovoru, cílených otázek nebo jiných přiměřených metod.</w:t>
      </w:r>
    </w:p>
    <w:p>
      <w:pPr>
        <w:pStyle w:val="Normal"/>
        <w:numPr>
          <w:ilvl w:val="0"/>
          <w:numId w:val="44"/>
        </w:numPr>
        <w:rPr/>
      </w:pPr>
      <w:r>
        <w:rPr/>
        <w:t>Sebehodnocení nenahrazuje hodnocení učitele, ale vhodně je doplňuje.</w:t>
      </w:r>
    </w:p>
    <w:p>
      <w:pPr>
        <w:pStyle w:val="Normal"/>
        <w:rPr/>
      </w:pPr>
      <w:r>
        <w:rPr/>
        <mc:AlternateContent>
          <mc:Choice Requires="wps">
            <w:drawing>
              <wp:inline distT="0" distB="0" distL="0" distR="0">
                <wp:extent cx="5943600" cy="19050"/>
                <wp:effectExtent l="0" t="0" r="0" b="0"/>
                <wp:docPr id="4" name="Tvar4"/>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6"/>
    </w:p>
    <w:p>
      <w:pPr>
        <w:pStyle w:val="Heading1"/>
        <w:rPr/>
      </w:pPr>
      <w:bookmarkStart w:id="7" w:name="způsob-získávání-podkladů-pro-hodnocení"/>
      <w:r>
        <w:rPr/>
        <w:t>3. Způsob získávání podkladů pro hodnocení</w:t>
      </w:r>
    </w:p>
    <w:p>
      <w:pPr>
        <w:pStyle w:val="Normal"/>
        <w:numPr>
          <w:ilvl w:val="0"/>
          <w:numId w:val="45"/>
        </w:numPr>
        <w:rPr/>
      </w:pPr>
      <w:r>
        <w:rPr/>
        <w:t>Učitelé získávají podklady pro hodnocení průběžně v průběhu celého klasifikačního období.</w:t>
      </w:r>
    </w:p>
    <w:p>
      <w:pPr>
        <w:pStyle w:val="Normal"/>
        <w:numPr>
          <w:ilvl w:val="0"/>
          <w:numId w:val="46"/>
        </w:numPr>
        <w:rPr/>
      </w:pPr>
      <w:r>
        <w:rPr/>
        <w:t>Podklady získávají zejména:</w:t>
      </w:r>
    </w:p>
    <w:p>
      <w:pPr>
        <w:pStyle w:val="Compact"/>
        <w:numPr>
          <w:ilvl w:val="1"/>
          <w:numId w:val="2"/>
        </w:numPr>
        <w:rPr/>
      </w:pPr>
      <w:r>
        <w:rPr/>
        <w:t>průběžným sledováním práce žáka,</w:t>
      </w:r>
    </w:p>
    <w:p>
      <w:pPr>
        <w:pStyle w:val="Compact"/>
        <w:numPr>
          <w:ilvl w:val="1"/>
          <w:numId w:val="2"/>
        </w:numPr>
        <w:rPr/>
      </w:pPr>
      <w:r>
        <w:rPr/>
        <w:t>ústním zkoušením,</w:t>
      </w:r>
    </w:p>
    <w:p>
      <w:pPr>
        <w:pStyle w:val="Compact"/>
        <w:numPr>
          <w:ilvl w:val="1"/>
          <w:numId w:val="2"/>
        </w:numPr>
        <w:rPr/>
      </w:pPr>
      <w:r>
        <w:rPr/>
        <w:t>písemnými pracemi,</w:t>
      </w:r>
    </w:p>
    <w:p>
      <w:pPr>
        <w:pStyle w:val="Compact"/>
        <w:numPr>
          <w:ilvl w:val="1"/>
          <w:numId w:val="2"/>
        </w:numPr>
        <w:rPr/>
      </w:pPr>
      <w:r>
        <w:rPr/>
        <w:t>kontrolními pracemi,</w:t>
      </w:r>
    </w:p>
    <w:p>
      <w:pPr>
        <w:pStyle w:val="Compact"/>
        <w:numPr>
          <w:ilvl w:val="1"/>
          <w:numId w:val="2"/>
        </w:numPr>
        <w:rPr/>
      </w:pPr>
      <w:r>
        <w:rPr/>
        <w:t>praktickými činnostmi,</w:t>
      </w:r>
    </w:p>
    <w:p>
      <w:pPr>
        <w:pStyle w:val="Compact"/>
        <w:numPr>
          <w:ilvl w:val="1"/>
          <w:numId w:val="2"/>
        </w:numPr>
        <w:rPr/>
      </w:pPr>
      <w:r>
        <w:rPr/>
        <w:t>grafickými pracemi,</w:t>
      </w:r>
    </w:p>
    <w:p>
      <w:pPr>
        <w:pStyle w:val="Compact"/>
        <w:numPr>
          <w:ilvl w:val="1"/>
          <w:numId w:val="2"/>
        </w:numPr>
        <w:rPr/>
      </w:pPr>
      <w:r>
        <w:rPr/>
        <w:t>projekty,</w:t>
      </w:r>
    </w:p>
    <w:p>
      <w:pPr>
        <w:pStyle w:val="Compact"/>
        <w:numPr>
          <w:ilvl w:val="1"/>
          <w:numId w:val="2"/>
        </w:numPr>
        <w:rPr/>
      </w:pPr>
      <w:r>
        <w:rPr/>
        <w:t>samostatnou prací,</w:t>
      </w:r>
    </w:p>
    <w:p>
      <w:pPr>
        <w:pStyle w:val="Compact"/>
        <w:numPr>
          <w:ilvl w:val="1"/>
          <w:numId w:val="2"/>
        </w:numPr>
        <w:rPr/>
      </w:pPr>
      <w:r>
        <w:rPr/>
        <w:t>skupinovou prací,</w:t>
      </w:r>
    </w:p>
    <w:p>
      <w:pPr>
        <w:pStyle w:val="Compact"/>
        <w:numPr>
          <w:ilvl w:val="1"/>
          <w:numId w:val="2"/>
        </w:numPr>
        <w:rPr/>
      </w:pPr>
      <w:r>
        <w:rPr/>
        <w:t>domácí přípravou,</w:t>
      </w:r>
    </w:p>
    <w:p>
      <w:pPr>
        <w:pStyle w:val="Compact"/>
        <w:numPr>
          <w:ilvl w:val="1"/>
          <w:numId w:val="2"/>
        </w:numPr>
        <w:rPr/>
      </w:pPr>
      <w:r>
        <w:rPr/>
        <w:t>pozorováním aktivity a přístupu žáka,</w:t>
      </w:r>
    </w:p>
    <w:p>
      <w:pPr>
        <w:pStyle w:val="Compact"/>
        <w:numPr>
          <w:ilvl w:val="1"/>
          <w:numId w:val="2"/>
        </w:numPr>
        <w:rPr/>
      </w:pPr>
      <w:r>
        <w:rPr/>
        <w:t>sebehodnocením žáka,</w:t>
      </w:r>
    </w:p>
    <w:p>
      <w:pPr>
        <w:pStyle w:val="Compact"/>
        <w:numPr>
          <w:ilvl w:val="1"/>
          <w:numId w:val="2"/>
        </w:numPr>
        <w:rPr/>
      </w:pPr>
      <w:r>
        <w:rPr/>
        <w:t>dalšími přiměřenými způsoby odpovídajícími charakteru předmětu.</w:t>
      </w:r>
    </w:p>
    <w:p>
      <w:pPr>
        <w:pStyle w:val="Normal"/>
        <w:numPr>
          <w:ilvl w:val="0"/>
          <w:numId w:val="47"/>
        </w:numPr>
        <w:rPr/>
      </w:pPr>
      <w:r>
        <w:rPr/>
        <w:t>Učitel hodnotí pouze učivo, které bylo žákům řádně vysvětleno, procvičeno a jehož zvládnutí odpovídá vzdělávacímu obsahu danému školním vzdělávacím programem.</w:t>
      </w:r>
    </w:p>
    <w:p>
      <w:pPr>
        <w:pStyle w:val="Normal"/>
        <w:numPr>
          <w:ilvl w:val="0"/>
          <w:numId w:val="48"/>
        </w:numPr>
        <w:rPr/>
      </w:pPr>
      <w:r>
        <w:rPr/>
        <w:t>Při hodnocení se přihlíží k předchozí omluvené nepřítomnosti žáka. Žákovi musí být umožněno přiměřené doplnění učiva.</w:t>
      </w:r>
    </w:p>
    <w:p>
      <w:pPr>
        <w:pStyle w:val="Normal"/>
        <w:numPr>
          <w:ilvl w:val="0"/>
          <w:numId w:val="49"/>
        </w:numPr>
        <w:rPr/>
      </w:pPr>
      <w:r>
        <w:rPr/>
        <w:t>Při plánování rozsáhlejších písemných prací učitel přihlíží k celkové zátěži žáků a ke koordinaci termínů mezi jednotlivými vyučujícími.</w:t>
      </w:r>
    </w:p>
    <w:p>
      <w:pPr>
        <w:pStyle w:val="Normal"/>
        <w:numPr>
          <w:ilvl w:val="0"/>
          <w:numId w:val="50"/>
        </w:numPr>
        <w:rPr/>
      </w:pPr>
      <w:r>
        <w:rPr/>
        <w:t>Výsledky písemných prací učitel žákům poskytne k nahlédnutí a přiměřeně je s nimi vyhodnotí.</w:t>
      </w:r>
    </w:p>
    <w:p>
      <w:pPr>
        <w:pStyle w:val="Normal"/>
        <w:numPr>
          <w:ilvl w:val="0"/>
          <w:numId w:val="51"/>
        </w:numPr>
        <w:rPr/>
      </w:pPr>
      <w:r>
        <w:rPr/>
        <w:t>Učitel poskytuje žákům přiměřenou zpětnou vazbu, která jim umožňuje pochopit, v čem spočívá jejich úspěch nebo nedostatek a jak mohou své výsledky zlepšit.</w:t>
      </w:r>
    </w:p>
    <w:p>
      <w:pPr>
        <w:pStyle w:val="Normal"/>
        <w:rPr/>
      </w:pPr>
      <w:r>
        <w:rPr/>
        <mc:AlternateContent>
          <mc:Choice Requires="wps">
            <w:drawing>
              <wp:inline distT="0" distB="0" distL="0" distR="0">
                <wp:extent cx="5943600" cy="19050"/>
                <wp:effectExtent l="0" t="0" r="0" b="0"/>
                <wp:docPr id="5" name="Tvar5"/>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7"/>
    </w:p>
    <w:p>
      <w:pPr>
        <w:pStyle w:val="Heading1"/>
        <w:rPr/>
      </w:pPr>
      <w:bookmarkStart w:id="8" w:name="hodnocení-prospěchu"/>
      <w:r>
        <w:rPr/>
        <w:t>4. Hodnocení prospěchu</w:t>
      </w:r>
    </w:p>
    <w:p>
      <w:pPr>
        <w:pStyle w:val="Normal"/>
        <w:numPr>
          <w:ilvl w:val="0"/>
          <w:numId w:val="52"/>
        </w:numPr>
        <w:rPr/>
      </w:pPr>
      <w:r>
        <w:rPr/>
        <w:t>Výsledky vzdělávání žáka v jednotlivých povinných a nepovinných předmětech se hodnotí klasifikačním stupněm, slovně nebo kombinací obou způsobů podle způsobu hodnocení stanoveného školou.</w:t>
      </w:r>
    </w:p>
    <w:p>
      <w:pPr>
        <w:pStyle w:val="Normal"/>
        <w:numPr>
          <w:ilvl w:val="0"/>
          <w:numId w:val="53"/>
        </w:numPr>
        <w:rPr/>
      </w:pPr>
      <w:r>
        <w:rPr/>
        <w:t>O způsobu hodnocení rozhoduje ředitel školy se souhlasem školské rady.</w:t>
      </w:r>
    </w:p>
    <w:p>
      <w:pPr>
        <w:pStyle w:val="Normal"/>
        <w:numPr>
          <w:ilvl w:val="0"/>
          <w:numId w:val="54"/>
        </w:numPr>
        <w:rPr/>
      </w:pPr>
      <w:r>
        <w:rPr/>
        <w:t>Při klasifikaci se posuzuje zejména:</w:t>
      </w:r>
    </w:p>
    <w:p>
      <w:pPr>
        <w:pStyle w:val="Compact"/>
        <w:numPr>
          <w:ilvl w:val="1"/>
          <w:numId w:val="2"/>
        </w:numPr>
        <w:rPr/>
      </w:pPr>
      <w:r>
        <w:rPr/>
        <w:t>úroveň dosažených znalostí a dovedností,</w:t>
      </w:r>
    </w:p>
    <w:p>
      <w:pPr>
        <w:pStyle w:val="Compact"/>
        <w:numPr>
          <w:ilvl w:val="1"/>
          <w:numId w:val="2"/>
        </w:numPr>
        <w:rPr/>
      </w:pPr>
      <w:r>
        <w:rPr/>
        <w:t>schopnost aplikovat získané vědomosti,</w:t>
      </w:r>
    </w:p>
    <w:p>
      <w:pPr>
        <w:pStyle w:val="Compact"/>
        <w:numPr>
          <w:ilvl w:val="1"/>
          <w:numId w:val="2"/>
        </w:numPr>
        <w:rPr/>
      </w:pPr>
      <w:r>
        <w:rPr/>
        <w:t>samostatnost,</w:t>
      </w:r>
    </w:p>
    <w:p>
      <w:pPr>
        <w:pStyle w:val="Compact"/>
        <w:numPr>
          <w:ilvl w:val="1"/>
          <w:numId w:val="2"/>
        </w:numPr>
        <w:rPr/>
      </w:pPr>
      <w:r>
        <w:rPr/>
        <w:t>přesnost,</w:t>
      </w:r>
    </w:p>
    <w:p>
      <w:pPr>
        <w:pStyle w:val="Compact"/>
        <w:numPr>
          <w:ilvl w:val="1"/>
          <w:numId w:val="2"/>
        </w:numPr>
        <w:rPr/>
      </w:pPr>
      <w:r>
        <w:rPr/>
        <w:t>tvořivost,</w:t>
      </w:r>
    </w:p>
    <w:p>
      <w:pPr>
        <w:pStyle w:val="Compact"/>
        <w:numPr>
          <w:ilvl w:val="1"/>
          <w:numId w:val="2"/>
        </w:numPr>
        <w:rPr/>
      </w:pPr>
      <w:r>
        <w:rPr/>
        <w:t>schopnost řešit problémy,</w:t>
      </w:r>
    </w:p>
    <w:p>
      <w:pPr>
        <w:pStyle w:val="Compact"/>
        <w:numPr>
          <w:ilvl w:val="1"/>
          <w:numId w:val="2"/>
        </w:numPr>
        <w:rPr/>
      </w:pPr>
      <w:r>
        <w:rPr/>
        <w:t>aktivita,</w:t>
      </w:r>
    </w:p>
    <w:p>
      <w:pPr>
        <w:pStyle w:val="Compact"/>
        <w:numPr>
          <w:ilvl w:val="1"/>
          <w:numId w:val="2"/>
        </w:numPr>
        <w:rPr/>
      </w:pPr>
      <w:r>
        <w:rPr/>
        <w:t>dlouhodobý pokrok,</w:t>
      </w:r>
    </w:p>
    <w:p>
      <w:pPr>
        <w:pStyle w:val="Compact"/>
        <w:numPr>
          <w:ilvl w:val="1"/>
          <w:numId w:val="2"/>
        </w:numPr>
        <w:rPr/>
      </w:pPr>
      <w:r>
        <w:rPr/>
        <w:t>přístup k práci,</w:t>
      </w:r>
    </w:p>
    <w:p>
      <w:pPr>
        <w:pStyle w:val="Compact"/>
        <w:numPr>
          <w:ilvl w:val="1"/>
          <w:numId w:val="2"/>
        </w:numPr>
        <w:rPr/>
      </w:pPr>
      <w:r>
        <w:rPr/>
        <w:t>kvalita výsledků.</w:t>
      </w:r>
    </w:p>
    <w:p>
      <w:pPr>
        <w:pStyle w:val="Normal"/>
        <w:numPr>
          <w:ilvl w:val="0"/>
          <w:numId w:val="55"/>
        </w:numPr>
        <w:rPr/>
      </w:pPr>
      <w:r>
        <w:rPr/>
        <w:t>Učitel posuzuje výkon žáka komplexně a nepřeceňuje jednotlivé dílčí chyby.</w:t>
      </w:r>
    </w:p>
    <w:p>
      <w:pPr>
        <w:pStyle w:val="Normal"/>
        <w:rPr/>
      </w:pPr>
      <w:r>
        <w:rPr/>
        <mc:AlternateContent>
          <mc:Choice Requires="wps">
            <w:drawing>
              <wp:inline distT="0" distB="0" distL="0" distR="0">
                <wp:extent cx="5943600" cy="19050"/>
                <wp:effectExtent l="0" t="0" r="0" b="0"/>
                <wp:docPr id="6" name="Tvar6"/>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p>
    <w:p>
      <w:pPr>
        <w:pStyle w:val="Heading2"/>
        <w:rPr/>
      </w:pPr>
      <w:bookmarkStart w:id="9" w:name="Xaa97a4ecb9b8a1e4ccfcadcadba8f4ff72c5802"/>
      <w:r>
        <w:rPr/>
        <w:t>4.1 Předměty s převahou teoretického zaměření</w:t>
      </w:r>
    </w:p>
    <w:p>
      <w:pPr>
        <w:pStyle w:val="Heading3"/>
        <w:rPr/>
      </w:pPr>
      <w:bookmarkStart w:id="10" w:name="stupeň-1-výborný"/>
      <w:r>
        <w:rPr/>
        <w:t>Stupeň 1 – výborný</w:t>
      </w:r>
    </w:p>
    <w:p>
      <w:pPr>
        <w:pStyle w:val="FirstParagraph"/>
        <w:rPr/>
      </w:pPr>
      <w:r>
        <w:rPr/>
        <w:t>Žák ovládá požadované učivo, rozumí jeho podstatě a dokáže získané vědomosti a dovednosti samostatně a tvořivě využívat. Jeho ústní a písemný projev je správný, přesný a výstižný. Dopouští se pouze ojedinělých a nepodstatných chyb. Dokáže argumentovat a samostatně řešit zadané úkoly.</w:t>
      </w:r>
      <w:bookmarkEnd w:id="10"/>
    </w:p>
    <w:p>
      <w:pPr>
        <w:pStyle w:val="Heading3"/>
        <w:rPr/>
      </w:pPr>
      <w:bookmarkStart w:id="11" w:name="stupeň-2-chvalitebný"/>
      <w:r>
        <w:rPr/>
        <w:t>Stupeň 2 – chvalitebný</w:t>
      </w:r>
    </w:p>
    <w:p>
      <w:pPr>
        <w:pStyle w:val="FirstParagraph"/>
        <w:rPr/>
      </w:pPr>
      <w:r>
        <w:rPr/>
        <w:t>Žák v podstatě ovládá požadované učivo. V obtížnějších situacích může potřebovat menší pomoc učitele. V jeho projevu se objevují drobné nepřesnosti a chyby. Získané vědomosti a dovednosti dokáže většinou samostatně využívat.</w:t>
      </w:r>
      <w:bookmarkEnd w:id="11"/>
    </w:p>
    <w:p>
      <w:pPr>
        <w:pStyle w:val="Heading3"/>
        <w:rPr/>
      </w:pPr>
      <w:bookmarkStart w:id="12" w:name="stupeň-3-dobrý"/>
      <w:r>
        <w:rPr/>
        <w:t>Stupeň 3 – dobrý</w:t>
      </w:r>
    </w:p>
    <w:p>
      <w:pPr>
        <w:pStyle w:val="FirstParagraph"/>
        <w:rPr/>
      </w:pPr>
      <w:r>
        <w:rPr/>
        <w:t>Žák ovládá podstatnou část učiva. Jeho vědomosti jsou však neúplné nebo méně přesné. Při řešení úkolů potřebuje vedení učitele, pomocné otázky nebo další podporu. V ústním i písemném projevu se objevují chyby. Získané vědomosti dokáže využít zejména s pomocí učitele.</w:t>
      </w:r>
      <w:bookmarkEnd w:id="12"/>
    </w:p>
    <w:p>
      <w:pPr>
        <w:pStyle w:val="Heading3"/>
        <w:rPr/>
      </w:pPr>
      <w:bookmarkStart w:id="13" w:name="stupeň-4-dostatečný"/>
      <w:r>
        <w:rPr/>
        <w:t>Stupeň 4 – dostatečný</w:t>
      </w:r>
    </w:p>
    <w:p>
      <w:pPr>
        <w:pStyle w:val="FirstParagraph"/>
        <w:rPr/>
      </w:pPr>
      <w:r>
        <w:rPr/>
        <w:t>Žák ovládá pouze základní část požadovaného učiva. Jeho vědomosti jsou neúplné a obtížně je spojuje do souvislostí. Při řešení i jednoduchých úkolů potřebuje výraznou pomoc učitele. V jeho projevu se vyskytují závažnější nedostatky.</w:t>
      </w:r>
      <w:bookmarkEnd w:id="13"/>
    </w:p>
    <w:p>
      <w:pPr>
        <w:pStyle w:val="Heading3"/>
        <w:rPr/>
      </w:pPr>
      <w:bookmarkStart w:id="14" w:name="stupeň-5-nedostatečný"/>
      <w:r>
        <w:rPr/>
        <w:t>Stupeň 5 – nedostatečný</w:t>
      </w:r>
    </w:p>
    <w:p>
      <w:pPr>
        <w:pStyle w:val="FirstParagraph"/>
        <w:rPr/>
      </w:pPr>
      <w:r>
        <w:rPr/>
        <w:t>Žák požadované učivo neovládá nebo je ovládá pouze v minimální míře. Nedokáže samostatně řešit zadané úkoly ani s přiměřenou pomocí učitele. Dopouští se závažných chyb, které nedokáže odstranit. Úroveň jeho vědomostí a dovedností neumožňuje navazovat na další učivo.</w:t>
      </w:r>
    </w:p>
    <w:p>
      <w:pPr>
        <w:pStyle w:val="Normal"/>
        <w:rPr/>
      </w:pPr>
      <w:r>
        <w:rPr/>
        <mc:AlternateContent>
          <mc:Choice Requires="wps">
            <w:drawing>
              <wp:inline distT="0" distB="0" distL="0" distR="0">
                <wp:extent cx="5943600" cy="19050"/>
                <wp:effectExtent l="0" t="0" r="0" b="0"/>
                <wp:docPr id="7" name="Tvar7"/>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8"/>
      <w:bookmarkEnd w:id="9"/>
      <w:bookmarkEnd w:id="14"/>
    </w:p>
    <w:p>
      <w:pPr>
        <w:pStyle w:val="Heading1"/>
        <w:rPr/>
      </w:pPr>
      <w:bookmarkStart w:id="15" w:name="předměty-s-převahou-praktického-zaměření"/>
      <w:r>
        <w:rPr/>
        <w:t>4.2 Předměty s převahou praktického zaměření</w:t>
      </w:r>
    </w:p>
    <w:p>
      <w:pPr>
        <w:pStyle w:val="FirstParagraph"/>
        <w:rPr/>
      </w:pPr>
      <w:r>
        <w:rPr/>
        <w:t>Při hodnocení praktických činností se posuzuje zejména:</w:t>
      </w:r>
    </w:p>
    <w:p>
      <w:pPr>
        <w:pStyle w:val="Compact"/>
        <w:numPr>
          <w:ilvl w:val="0"/>
          <w:numId w:val="2"/>
        </w:numPr>
        <w:rPr/>
      </w:pPr>
      <w:r>
        <w:rPr/>
        <w:t>vztah k práci,</w:t>
      </w:r>
    </w:p>
    <w:p>
      <w:pPr>
        <w:pStyle w:val="Compact"/>
        <w:numPr>
          <w:ilvl w:val="0"/>
          <w:numId w:val="2"/>
        </w:numPr>
        <w:rPr/>
      </w:pPr>
      <w:r>
        <w:rPr/>
        <w:t>aktivita,</w:t>
      </w:r>
    </w:p>
    <w:p>
      <w:pPr>
        <w:pStyle w:val="Compact"/>
        <w:numPr>
          <w:ilvl w:val="0"/>
          <w:numId w:val="2"/>
        </w:numPr>
        <w:rPr/>
      </w:pPr>
      <w:r>
        <w:rPr/>
        <w:t>samostatnost,</w:t>
      </w:r>
    </w:p>
    <w:p>
      <w:pPr>
        <w:pStyle w:val="Compact"/>
        <w:numPr>
          <w:ilvl w:val="0"/>
          <w:numId w:val="2"/>
        </w:numPr>
        <w:rPr/>
      </w:pPr>
      <w:r>
        <w:rPr/>
        <w:t>tvořivost,</w:t>
      </w:r>
    </w:p>
    <w:p>
      <w:pPr>
        <w:pStyle w:val="Compact"/>
        <w:numPr>
          <w:ilvl w:val="0"/>
          <w:numId w:val="2"/>
        </w:numPr>
        <w:rPr/>
      </w:pPr>
      <w:r>
        <w:rPr/>
        <w:t>iniciativa,</w:t>
      </w:r>
    </w:p>
    <w:p>
      <w:pPr>
        <w:pStyle w:val="Compact"/>
        <w:numPr>
          <w:ilvl w:val="0"/>
          <w:numId w:val="2"/>
        </w:numPr>
        <w:rPr/>
      </w:pPr>
      <w:r>
        <w:rPr/>
        <w:t>osvojení praktických dovedností,</w:t>
      </w:r>
    </w:p>
    <w:p>
      <w:pPr>
        <w:pStyle w:val="Compact"/>
        <w:numPr>
          <w:ilvl w:val="0"/>
          <w:numId w:val="2"/>
        </w:numPr>
        <w:rPr/>
      </w:pPr>
      <w:r>
        <w:rPr/>
        <w:t>zvládnutí pracovních postupů,</w:t>
      </w:r>
    </w:p>
    <w:p>
      <w:pPr>
        <w:pStyle w:val="Compact"/>
        <w:numPr>
          <w:ilvl w:val="0"/>
          <w:numId w:val="2"/>
        </w:numPr>
        <w:rPr/>
      </w:pPr>
      <w:r>
        <w:rPr/>
        <w:t>využití teoretických vědomostí,</w:t>
      </w:r>
    </w:p>
    <w:p>
      <w:pPr>
        <w:pStyle w:val="Compact"/>
        <w:numPr>
          <w:ilvl w:val="0"/>
          <w:numId w:val="2"/>
        </w:numPr>
        <w:rPr/>
      </w:pPr>
      <w:r>
        <w:rPr/>
        <w:t>kvalita výsledků práce,</w:t>
      </w:r>
    </w:p>
    <w:p>
      <w:pPr>
        <w:pStyle w:val="Compact"/>
        <w:numPr>
          <w:ilvl w:val="0"/>
          <w:numId w:val="2"/>
        </w:numPr>
        <w:rPr/>
      </w:pPr>
      <w:r>
        <w:rPr/>
        <w:t>bezpečnost práce,</w:t>
      </w:r>
    </w:p>
    <w:p>
      <w:pPr>
        <w:pStyle w:val="Compact"/>
        <w:numPr>
          <w:ilvl w:val="0"/>
          <w:numId w:val="2"/>
        </w:numPr>
        <w:rPr/>
      </w:pPr>
      <w:r>
        <w:rPr/>
        <w:t>správné používání a údržba pomůcek.</w:t>
      </w:r>
    </w:p>
    <w:p>
      <w:pPr>
        <w:pStyle w:val="Heading3"/>
        <w:rPr/>
      </w:pPr>
      <w:bookmarkStart w:id="16" w:name="stupeň-1-výborný-1"/>
      <w:r>
        <w:rPr/>
        <w:t>Stupeň 1 – výborný</w:t>
      </w:r>
    </w:p>
    <w:p>
      <w:pPr>
        <w:pStyle w:val="FirstParagraph"/>
        <w:rPr/>
      </w:pPr>
      <w:r>
        <w:rPr/>
        <w:t>Žák má kladný vztah k práci. Pracuje samostatně, pohotově, tvořivě a bezpečně. Získané vědomosti správně využívá v praktických činnostech. Výsledky práce jsou kvalitní a odpovídají požadavkům. Pomůcky používá správně a odpovědně.</w:t>
      </w:r>
      <w:bookmarkEnd w:id="16"/>
    </w:p>
    <w:p>
      <w:pPr>
        <w:pStyle w:val="Heading3"/>
        <w:rPr/>
      </w:pPr>
      <w:bookmarkStart w:id="17" w:name="stupeň-2-chvalitebný-1"/>
      <w:r>
        <w:rPr/>
        <w:t>Stupeň 2 – chvalitebný</w:t>
      </w:r>
    </w:p>
    <w:p>
      <w:pPr>
        <w:pStyle w:val="FirstParagraph"/>
        <w:rPr/>
      </w:pPr>
      <w:r>
        <w:rPr/>
        <w:t>Žák má kladný vztah k práci. Pracuje většinou samostatně, i když méně tvořivě nebo s menší jistotou. Dopouští se drobných chyb, které dokáže s menší pomocí odstranit. Výsledky jeho práce mají pouze drobné nedostatky.</w:t>
      </w:r>
      <w:bookmarkEnd w:id="17"/>
    </w:p>
    <w:p>
      <w:pPr>
        <w:pStyle w:val="Heading3"/>
        <w:rPr/>
      </w:pPr>
      <w:bookmarkStart w:id="18" w:name="stupeň-3-dobrý-1"/>
      <w:r>
        <w:rPr/>
        <w:t>Stupeň 3 – dobrý</w:t>
      </w:r>
    </w:p>
    <w:p>
      <w:pPr>
        <w:pStyle w:val="FirstParagraph"/>
        <w:rPr/>
      </w:pPr>
      <w:r>
        <w:rPr/>
        <w:t>Žák projevuje k práci méně výrazný vztah. Při práci potřebuje občasnou pomoc učitele. Dopouští se chyb a výsledky jeho práce mají nedostatky. Získané vědomosti využívá v praktické činnosti zejména s pomocí učitele.</w:t>
      </w:r>
      <w:bookmarkEnd w:id="18"/>
    </w:p>
    <w:p>
      <w:pPr>
        <w:pStyle w:val="Heading3"/>
        <w:rPr/>
      </w:pPr>
      <w:bookmarkStart w:id="19" w:name="stupeň-4-dostatečný-1"/>
      <w:r>
        <w:rPr/>
        <w:t>Stupeň 4 – dostatečný</w:t>
      </w:r>
    </w:p>
    <w:p>
      <w:pPr>
        <w:pStyle w:val="FirstParagraph"/>
        <w:rPr/>
      </w:pPr>
      <w:r>
        <w:rPr/>
        <w:t>Žák projevuje malý zájem o práci. Potřebuje soustavnou pomoc učitele. Dopouští se větších chyb a výsledky práce mají závažné nedostatky. Pracovní postupy nezvládá samostatně.</w:t>
      </w:r>
      <w:bookmarkEnd w:id="19"/>
    </w:p>
    <w:p>
      <w:pPr>
        <w:pStyle w:val="Heading3"/>
        <w:rPr/>
      </w:pPr>
      <w:bookmarkStart w:id="20" w:name="stupeň-5-nedostatečný-1"/>
      <w:r>
        <w:rPr/>
        <w:t>Stupeň 5 – nedostatečný</w:t>
      </w:r>
    </w:p>
    <w:p>
      <w:pPr>
        <w:pStyle w:val="FirstParagraph"/>
        <w:rPr/>
      </w:pPr>
      <w:r>
        <w:rPr/>
        <w:t>Žák neprojevuje zájem o práci. Nedokáže využít získané vědomosti ani při soustavné pomoci učitele. Nedokáže samostatně zvládnout pracovní postup a výsledky jeho práce jsou neúplné, nedokončené nebo zásadně nevyhovující.</w:t>
      </w:r>
    </w:p>
    <w:p>
      <w:pPr>
        <w:pStyle w:val="Normal"/>
        <w:rPr/>
      </w:pPr>
      <w:r>
        <w:rPr/>
        <mc:AlternateContent>
          <mc:Choice Requires="wps">
            <w:drawing>
              <wp:inline distT="0" distB="0" distL="0" distR="0">
                <wp:extent cx="5943600" cy="19050"/>
                <wp:effectExtent l="0" t="0" r="0" b="0"/>
                <wp:docPr id="8" name="Tvar8"/>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15"/>
      <w:bookmarkEnd w:id="20"/>
    </w:p>
    <w:p>
      <w:pPr>
        <w:pStyle w:val="Heading1"/>
        <w:rPr/>
      </w:pPr>
      <w:bookmarkStart w:id="21" w:name="předměty-s-převahou-výchovného-zaměření"/>
      <w:r>
        <w:rPr/>
        <w:t>4.3 Předměty s převahou výchovného zaměření</w:t>
      </w:r>
    </w:p>
    <w:p>
      <w:pPr>
        <w:pStyle w:val="FirstParagraph"/>
        <w:rPr/>
      </w:pPr>
      <w:r>
        <w:rPr/>
        <w:t>Za předměty s převahou výchovného zaměření jsou považovány zejména předměty výtvarného, hudebního a tělesného zaměření podle školního vzdělávacího programu.</w:t>
      </w:r>
    </w:p>
    <w:p>
      <w:pPr>
        <w:pStyle w:val="BodyText"/>
        <w:rPr/>
      </w:pPr>
      <w:r>
        <w:rPr/>
        <w:t>Při hodnocení se přihlíží zejména k:</w:t>
      </w:r>
    </w:p>
    <w:p>
      <w:pPr>
        <w:pStyle w:val="Compact"/>
        <w:numPr>
          <w:ilvl w:val="0"/>
          <w:numId w:val="2"/>
        </w:numPr>
        <w:rPr/>
      </w:pPr>
      <w:r>
        <w:rPr/>
        <w:t>aktivitě,</w:t>
      </w:r>
    </w:p>
    <w:p>
      <w:pPr>
        <w:pStyle w:val="Compact"/>
        <w:numPr>
          <w:ilvl w:val="0"/>
          <w:numId w:val="2"/>
        </w:numPr>
        <w:rPr/>
      </w:pPr>
      <w:r>
        <w:rPr/>
        <w:t>zájmu,</w:t>
      </w:r>
    </w:p>
    <w:p>
      <w:pPr>
        <w:pStyle w:val="Compact"/>
        <w:numPr>
          <w:ilvl w:val="0"/>
          <w:numId w:val="2"/>
        </w:numPr>
        <w:rPr/>
      </w:pPr>
      <w:r>
        <w:rPr/>
        <w:t>tvořivosti,</w:t>
      </w:r>
    </w:p>
    <w:p>
      <w:pPr>
        <w:pStyle w:val="Compact"/>
        <w:numPr>
          <w:ilvl w:val="0"/>
          <w:numId w:val="2"/>
        </w:numPr>
        <w:rPr/>
      </w:pPr>
      <w:r>
        <w:rPr/>
        <w:t>samostatnosti,</w:t>
      </w:r>
    </w:p>
    <w:p>
      <w:pPr>
        <w:pStyle w:val="Compact"/>
        <w:numPr>
          <w:ilvl w:val="0"/>
          <w:numId w:val="2"/>
        </w:numPr>
        <w:rPr/>
      </w:pPr>
      <w:r>
        <w:rPr/>
        <w:t>schopnosti spolupracovat,</w:t>
      </w:r>
    </w:p>
    <w:p>
      <w:pPr>
        <w:pStyle w:val="Compact"/>
        <w:numPr>
          <w:ilvl w:val="0"/>
          <w:numId w:val="2"/>
        </w:numPr>
        <w:rPr/>
      </w:pPr>
      <w:r>
        <w:rPr/>
        <w:t>kvalitě projevu,</w:t>
      </w:r>
    </w:p>
    <w:p>
      <w:pPr>
        <w:pStyle w:val="Compact"/>
        <w:numPr>
          <w:ilvl w:val="0"/>
          <w:numId w:val="2"/>
        </w:numPr>
        <w:rPr/>
      </w:pPr>
      <w:r>
        <w:rPr/>
        <w:t>individuálním předpokladům žáka,</w:t>
      </w:r>
    </w:p>
    <w:p>
      <w:pPr>
        <w:pStyle w:val="Compact"/>
        <w:numPr>
          <w:ilvl w:val="0"/>
          <w:numId w:val="2"/>
        </w:numPr>
        <w:rPr/>
      </w:pPr>
      <w:r>
        <w:rPr/>
        <w:t>osobnímu pokroku.</w:t>
      </w:r>
    </w:p>
    <w:p>
      <w:pPr>
        <w:pStyle w:val="FirstParagraph"/>
        <w:rPr/>
      </w:pPr>
      <w:r>
        <w:rPr/>
        <w:t>V tělesné výchově se přihlíží rovněž ke zdravotnímu stavu, tělesné zdatnosti a individuálním předpokladům žáka.</w:t>
      </w:r>
    </w:p>
    <w:p>
      <w:pPr>
        <w:pStyle w:val="BodyText"/>
        <w:rPr/>
      </w:pPr>
      <w:r>
        <w:rPr/>
        <w:t>Žák, který je z tělesné výchovy uvolněn nebo má stanoveny zdravotní úlevy, je hodnocen s přihlédnutím k jeho zdravotnímu stavu a rozsahu stanovených omezení.</w:t>
      </w:r>
    </w:p>
    <w:p>
      <w:pPr>
        <w:pStyle w:val="Heading3"/>
        <w:rPr/>
      </w:pPr>
      <w:bookmarkStart w:id="22" w:name="stupeň-1-výborný-2"/>
      <w:r>
        <w:rPr/>
        <w:t>Stupeň 1 – výborný</w:t>
      </w:r>
    </w:p>
    <w:p>
      <w:pPr>
        <w:pStyle w:val="FirstParagraph"/>
        <w:rPr/>
      </w:pPr>
      <w:r>
        <w:rPr/>
        <w:t>Žák je aktivní, pracuje se zájmem, tvořivě a samostatně. Využívá své individuální předpoklady a snaží se je dále rozvíjet. Výsledky jeho práce mají pouze drobné nedostatky.</w:t>
      </w:r>
      <w:bookmarkEnd w:id="22"/>
    </w:p>
    <w:p>
      <w:pPr>
        <w:pStyle w:val="Heading3"/>
        <w:rPr/>
      </w:pPr>
      <w:bookmarkStart w:id="23" w:name="stupeň-2-chvalitebný-2"/>
      <w:r>
        <w:rPr/>
        <w:t>Stupeň 2 – chvalitebný</w:t>
      </w:r>
    </w:p>
    <w:p>
      <w:pPr>
        <w:pStyle w:val="FirstParagraph"/>
        <w:rPr/>
      </w:pPr>
      <w:r>
        <w:rPr/>
        <w:t>Žák je většinou aktivní a má zájem o činnost. Své předpoklady využívá, i když méně samostatně. Výsledky práce mají drobné nedostatky.</w:t>
      </w:r>
      <w:bookmarkEnd w:id="23"/>
    </w:p>
    <w:p>
      <w:pPr>
        <w:pStyle w:val="Heading3"/>
        <w:rPr/>
      </w:pPr>
      <w:bookmarkStart w:id="24" w:name="stupeň-3-dobrý-2"/>
      <w:r>
        <w:rPr/>
        <w:t>Stupeň 3 – dobrý</w:t>
      </w:r>
    </w:p>
    <w:p>
      <w:pPr>
        <w:pStyle w:val="FirstParagraph"/>
        <w:rPr/>
      </w:pPr>
      <w:r>
        <w:rPr/>
        <w:t>Žák je méně aktivní, tvořivý a samostatný. Své předpoklady nevyužívá v dostatečné míře. Jeho výsledky mají nedostatky a ke zlepšení potřebuje podporu učitele.</w:t>
      </w:r>
      <w:bookmarkEnd w:id="24"/>
    </w:p>
    <w:p>
      <w:pPr>
        <w:pStyle w:val="Heading3"/>
        <w:rPr/>
      </w:pPr>
      <w:bookmarkStart w:id="25" w:name="stupeň-4-dostatečný-2"/>
      <w:r>
        <w:rPr/>
        <w:t>Stupeň 4 – dostatečný</w:t>
      </w:r>
    </w:p>
    <w:p>
      <w:pPr>
        <w:pStyle w:val="FirstParagraph"/>
        <w:rPr/>
      </w:pPr>
      <w:r>
        <w:rPr/>
        <w:t>Žák je převážně pasivní, projevuje malý zájem a potřebuje výraznou podporu. Jeho výsledky jsou málo uspokojivé a vykazují větší nedostatky.</w:t>
      </w:r>
      <w:bookmarkEnd w:id="25"/>
    </w:p>
    <w:p>
      <w:pPr>
        <w:pStyle w:val="Heading3"/>
        <w:rPr/>
      </w:pPr>
      <w:bookmarkStart w:id="26" w:name="stupeň-5-nedostatečný-2"/>
      <w:r>
        <w:rPr/>
        <w:t>Stupeň 5 – nedostatečný</w:t>
      </w:r>
    </w:p>
    <w:p>
      <w:pPr>
        <w:pStyle w:val="FirstParagraph"/>
        <w:rPr/>
      </w:pPr>
      <w:r>
        <w:rPr/>
        <w:t>Žák je dlouhodobě pasivní, neprojevuje zájem o činnost a nespolupracuje. Své individuální předpoklady nerozvíjí a výsledky jeho práce jsou nevyhovující.</w:t>
      </w:r>
    </w:p>
    <w:p>
      <w:pPr>
        <w:pStyle w:val="Normal"/>
        <w:rPr/>
      </w:pPr>
      <w:r>
        <w:rPr/>
        <mc:AlternateContent>
          <mc:Choice Requires="wps">
            <w:drawing>
              <wp:inline distT="0" distB="0" distL="0" distR="0">
                <wp:extent cx="5943600" cy="19050"/>
                <wp:effectExtent l="0" t="0" r="0" b="0"/>
                <wp:docPr id="9" name="Tvar9"/>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21"/>
      <w:bookmarkEnd w:id="26"/>
    </w:p>
    <w:p>
      <w:pPr>
        <w:pStyle w:val="Heading1"/>
        <w:rPr/>
      </w:pPr>
      <w:bookmarkStart w:id="27" w:name="formativní-hodnocení"/>
      <w:r>
        <w:rPr/>
        <w:t>5. Formativní hodnocení</w:t>
      </w:r>
    </w:p>
    <w:p>
      <w:pPr>
        <w:pStyle w:val="Normal"/>
        <w:numPr>
          <w:ilvl w:val="0"/>
          <w:numId w:val="56"/>
        </w:numPr>
        <w:rPr/>
      </w:pPr>
      <w:r>
        <w:rPr/>
        <w:t>Formativní hodnocení je průběžný proces sledování a vyhodnocování učení žáka, jehož hlavním cílem je poskytnout žákovi zpětnou vazbu využitelnou pro další učení.</w:t>
      </w:r>
    </w:p>
    <w:p>
      <w:pPr>
        <w:pStyle w:val="Normal"/>
        <w:numPr>
          <w:ilvl w:val="0"/>
          <w:numId w:val="57"/>
        </w:numPr>
        <w:rPr/>
      </w:pPr>
      <w:r>
        <w:rPr/>
        <w:t>Formativní hodnocení může zahrnovat:</w:t>
      </w:r>
    </w:p>
    <w:p>
      <w:pPr>
        <w:pStyle w:val="Compact"/>
        <w:numPr>
          <w:ilvl w:val="1"/>
          <w:numId w:val="2"/>
        </w:numPr>
        <w:rPr/>
      </w:pPr>
      <w:r>
        <w:rPr/>
        <w:t>slovní zpětnou vazbu,</w:t>
      </w:r>
    </w:p>
    <w:p>
      <w:pPr>
        <w:pStyle w:val="Compact"/>
        <w:numPr>
          <w:ilvl w:val="1"/>
          <w:numId w:val="2"/>
        </w:numPr>
        <w:rPr/>
      </w:pPr>
      <w:r>
        <w:rPr/>
        <w:t>cílené otázky,</w:t>
      </w:r>
    </w:p>
    <w:p>
      <w:pPr>
        <w:pStyle w:val="Compact"/>
        <w:numPr>
          <w:ilvl w:val="1"/>
          <w:numId w:val="2"/>
        </w:numPr>
        <w:rPr/>
      </w:pPr>
      <w:r>
        <w:rPr/>
        <w:t>diskusi,</w:t>
      </w:r>
    </w:p>
    <w:p>
      <w:pPr>
        <w:pStyle w:val="Compact"/>
        <w:numPr>
          <w:ilvl w:val="1"/>
          <w:numId w:val="2"/>
        </w:numPr>
        <w:rPr/>
      </w:pPr>
      <w:r>
        <w:rPr/>
        <w:t>práci s chybou,</w:t>
      </w:r>
    </w:p>
    <w:p>
      <w:pPr>
        <w:pStyle w:val="Compact"/>
        <w:numPr>
          <w:ilvl w:val="1"/>
          <w:numId w:val="2"/>
        </w:numPr>
        <w:rPr/>
      </w:pPr>
      <w:r>
        <w:rPr/>
        <w:t>vzájemné hodnocení,</w:t>
      </w:r>
    </w:p>
    <w:p>
      <w:pPr>
        <w:pStyle w:val="Compact"/>
        <w:numPr>
          <w:ilvl w:val="1"/>
          <w:numId w:val="2"/>
        </w:numPr>
        <w:rPr/>
      </w:pPr>
      <w:r>
        <w:rPr/>
        <w:t>sebehodnocení,</w:t>
      </w:r>
    </w:p>
    <w:p>
      <w:pPr>
        <w:pStyle w:val="Compact"/>
        <w:numPr>
          <w:ilvl w:val="1"/>
          <w:numId w:val="2"/>
        </w:numPr>
        <w:rPr/>
      </w:pPr>
      <w:r>
        <w:rPr/>
        <w:t>kontrolní a průběžné úkoly,</w:t>
      </w:r>
    </w:p>
    <w:p>
      <w:pPr>
        <w:pStyle w:val="Compact"/>
        <w:numPr>
          <w:ilvl w:val="1"/>
          <w:numId w:val="2"/>
        </w:numPr>
        <w:rPr/>
      </w:pPr>
      <w:r>
        <w:rPr/>
        <w:t>hodnoticí škály,</w:t>
      </w:r>
    </w:p>
    <w:p>
      <w:pPr>
        <w:pStyle w:val="Compact"/>
        <w:numPr>
          <w:ilvl w:val="1"/>
          <w:numId w:val="2"/>
        </w:numPr>
        <w:rPr/>
      </w:pPr>
      <w:r>
        <w:rPr/>
        <w:t>práci s kritérii,</w:t>
      </w:r>
    </w:p>
    <w:p>
      <w:pPr>
        <w:pStyle w:val="Compact"/>
        <w:numPr>
          <w:ilvl w:val="1"/>
          <w:numId w:val="2"/>
        </w:numPr>
        <w:rPr/>
      </w:pPr>
      <w:r>
        <w:rPr/>
        <w:t>portfolio,</w:t>
      </w:r>
    </w:p>
    <w:p>
      <w:pPr>
        <w:pStyle w:val="Compact"/>
        <w:numPr>
          <w:ilvl w:val="1"/>
          <w:numId w:val="2"/>
        </w:numPr>
        <w:rPr/>
      </w:pPr>
      <w:r>
        <w:rPr/>
        <w:t>individuální rozhovor.</w:t>
      </w:r>
    </w:p>
    <w:p>
      <w:pPr>
        <w:pStyle w:val="Normal"/>
        <w:numPr>
          <w:ilvl w:val="0"/>
          <w:numId w:val="58"/>
        </w:numPr>
        <w:rPr/>
      </w:pPr>
      <w:r>
        <w:rPr/>
        <w:t>Formativní hodnocení má žákovi pomoci pochopit:</w:t>
      </w:r>
    </w:p>
    <w:p>
      <w:pPr>
        <w:pStyle w:val="Compact"/>
        <w:numPr>
          <w:ilvl w:val="1"/>
          <w:numId w:val="2"/>
        </w:numPr>
        <w:rPr/>
      </w:pPr>
      <w:r>
        <w:rPr/>
        <w:t>kde se právě nachází,</w:t>
      </w:r>
    </w:p>
    <w:p>
      <w:pPr>
        <w:pStyle w:val="Compact"/>
        <w:numPr>
          <w:ilvl w:val="1"/>
          <w:numId w:val="2"/>
        </w:numPr>
        <w:rPr/>
      </w:pPr>
      <w:r>
        <w:rPr/>
        <w:t>čeho má dosáhnout,</w:t>
      </w:r>
    </w:p>
    <w:p>
      <w:pPr>
        <w:pStyle w:val="Compact"/>
        <w:numPr>
          <w:ilvl w:val="1"/>
          <w:numId w:val="2"/>
        </w:numPr>
        <w:rPr/>
      </w:pPr>
      <w:r>
        <w:rPr/>
        <w:t>co již zvládl,</w:t>
      </w:r>
    </w:p>
    <w:p>
      <w:pPr>
        <w:pStyle w:val="Compact"/>
        <w:numPr>
          <w:ilvl w:val="1"/>
          <w:numId w:val="2"/>
        </w:numPr>
        <w:rPr/>
      </w:pPr>
      <w:r>
        <w:rPr/>
        <w:t>co ještě potřebuje zlepšit,</w:t>
      </w:r>
    </w:p>
    <w:p>
      <w:pPr>
        <w:pStyle w:val="Compact"/>
        <w:numPr>
          <w:ilvl w:val="1"/>
          <w:numId w:val="2"/>
        </w:numPr>
        <w:rPr/>
      </w:pPr>
      <w:r>
        <w:rPr/>
        <w:t>jak může svého cíle dosáhnout.</w:t>
      </w:r>
    </w:p>
    <w:p>
      <w:pPr>
        <w:pStyle w:val="Normal"/>
        <w:numPr>
          <w:ilvl w:val="0"/>
          <w:numId w:val="59"/>
        </w:numPr>
        <w:rPr/>
      </w:pPr>
      <w:r>
        <w:rPr/>
        <w:t>Formativní hodnocení podporuje individuální přístup k žákovi a zohledňuje jeho vzdělávací potřeby.</w:t>
      </w:r>
    </w:p>
    <w:p>
      <w:pPr>
        <w:pStyle w:val="Normal"/>
        <w:rPr/>
      </w:pPr>
      <w:r>
        <w:rPr/>
        <mc:AlternateContent>
          <mc:Choice Requires="wps">
            <w:drawing>
              <wp:inline distT="0" distB="0" distL="0" distR="0">
                <wp:extent cx="5943600" cy="19050"/>
                <wp:effectExtent l="0" t="0" r="0" b="0"/>
                <wp:docPr id="10" name="Tvar10"/>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27"/>
    </w:p>
    <w:p>
      <w:pPr>
        <w:pStyle w:val="Heading1"/>
        <w:rPr/>
      </w:pPr>
      <w:bookmarkStart w:id="28" w:name="evidence-hodnocení"/>
      <w:r>
        <w:rPr/>
        <w:t>6. Evidence hodnocení</w:t>
      </w:r>
    </w:p>
    <w:p>
      <w:pPr>
        <w:pStyle w:val="Normal"/>
        <w:numPr>
          <w:ilvl w:val="0"/>
          <w:numId w:val="60"/>
        </w:numPr>
        <w:rPr/>
      </w:pPr>
      <w:r>
        <w:rPr/>
        <w:t>Učitel vede průkaznou evidenci o hodnocení žáků v souladu s pravidly školy.</w:t>
      </w:r>
    </w:p>
    <w:p>
      <w:pPr>
        <w:pStyle w:val="Normal"/>
        <w:numPr>
          <w:ilvl w:val="0"/>
          <w:numId w:val="61"/>
        </w:numPr>
        <w:rPr/>
      </w:pPr>
      <w:r>
        <w:rPr/>
        <w:t>Evidence musí umožňovat doložit průběh hodnocení a podklady, ze kterých učitel při stanovení výsledného hodnocení vycházel.</w:t>
      </w:r>
    </w:p>
    <w:p>
      <w:pPr>
        <w:pStyle w:val="Normal"/>
        <w:numPr>
          <w:ilvl w:val="0"/>
          <w:numId w:val="62"/>
        </w:numPr>
        <w:rPr/>
      </w:pPr>
      <w:r>
        <w:rPr/>
        <w:t>V případě dlouhodobé nepřítomnosti nebo ukončení pracovního poměru předá učitel potřebné podklady zastupujícímu učiteli nebo vedení školy.</w:t>
      </w:r>
    </w:p>
    <w:p>
      <w:pPr>
        <w:pStyle w:val="Normal"/>
        <w:numPr>
          <w:ilvl w:val="0"/>
          <w:numId w:val="63"/>
        </w:numPr>
        <w:rPr/>
      </w:pPr>
      <w:r>
        <w:rPr/>
        <w:t>Písemné práce a další významné podklady pro hodnocení jsou uchovávány po dobu stanovenou vnitřními pravidly školy a příslušnými právními předpisy.</w:t>
      </w:r>
    </w:p>
    <w:p>
      <w:pPr>
        <w:pStyle w:val="Normal"/>
        <w:numPr>
          <w:ilvl w:val="0"/>
          <w:numId w:val="64"/>
        </w:numPr>
        <w:rPr/>
      </w:pPr>
      <w:r>
        <w:rPr/>
        <w:t>Zákonný zástupce má možnost se s podklady hodnocení svého dítěte seznámit po dohodě s příslušným pedagogickým pracovníkem.</w:t>
      </w:r>
    </w:p>
    <w:p>
      <w:pPr>
        <w:pStyle w:val="Normal"/>
        <w:rPr/>
      </w:pPr>
      <w:r>
        <w:rPr/>
        <mc:AlternateContent>
          <mc:Choice Requires="wps">
            <w:drawing>
              <wp:inline distT="0" distB="0" distL="0" distR="0">
                <wp:extent cx="5943600" cy="19050"/>
                <wp:effectExtent l="0" t="0" r="0" b="0"/>
                <wp:docPr id="11" name="Tvar11"/>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28"/>
    </w:p>
    <w:p>
      <w:pPr>
        <w:pStyle w:val="Heading1"/>
        <w:rPr/>
      </w:pPr>
      <w:bookmarkStart w:id="29" w:name="hodnocení-chování"/>
      <w:r>
        <w:rPr/>
        <w:t>7. Hodnocení chování</w:t>
      </w:r>
    </w:p>
    <w:p>
      <w:pPr>
        <w:pStyle w:val="Normal"/>
        <w:numPr>
          <w:ilvl w:val="0"/>
          <w:numId w:val="65"/>
        </w:numPr>
        <w:rPr/>
      </w:pPr>
      <w:r>
        <w:rPr/>
        <w:t>Hodnocení chování žáka vychází především z dodržování pravidel stanovených školním řádem.</w:t>
      </w:r>
    </w:p>
    <w:p>
      <w:pPr>
        <w:pStyle w:val="Normal"/>
        <w:numPr>
          <w:ilvl w:val="0"/>
          <w:numId w:val="66"/>
        </w:numPr>
        <w:rPr/>
      </w:pPr>
      <w:r>
        <w:rPr/>
        <w:t>Při hodnocení chování se přihlíží k:</w:t>
      </w:r>
    </w:p>
    <w:p>
      <w:pPr>
        <w:pStyle w:val="Compact"/>
        <w:numPr>
          <w:ilvl w:val="1"/>
          <w:numId w:val="2"/>
        </w:numPr>
        <w:rPr/>
      </w:pPr>
      <w:r>
        <w:rPr/>
        <w:t>věku žáka,</w:t>
      </w:r>
    </w:p>
    <w:p>
      <w:pPr>
        <w:pStyle w:val="Compact"/>
        <w:numPr>
          <w:ilvl w:val="1"/>
          <w:numId w:val="2"/>
        </w:numPr>
        <w:rPr/>
      </w:pPr>
      <w:r>
        <w:rPr/>
        <w:t>jeho rozumové a mravní vyspělosti,</w:t>
      </w:r>
    </w:p>
    <w:p>
      <w:pPr>
        <w:pStyle w:val="Compact"/>
        <w:numPr>
          <w:ilvl w:val="1"/>
          <w:numId w:val="2"/>
        </w:numPr>
        <w:rPr/>
      </w:pPr>
      <w:r>
        <w:rPr/>
        <w:t>okolnostem konkrétního jednání,</w:t>
      </w:r>
    </w:p>
    <w:p>
      <w:pPr>
        <w:pStyle w:val="Compact"/>
        <w:numPr>
          <w:ilvl w:val="1"/>
          <w:numId w:val="2"/>
        </w:numPr>
        <w:rPr/>
      </w:pPr>
      <w:r>
        <w:rPr/>
        <w:t>závažnosti jednání,</w:t>
      </w:r>
    </w:p>
    <w:p>
      <w:pPr>
        <w:pStyle w:val="Compact"/>
        <w:numPr>
          <w:ilvl w:val="1"/>
          <w:numId w:val="2"/>
        </w:numPr>
        <w:rPr/>
      </w:pPr>
      <w:r>
        <w:rPr/>
        <w:t>četnosti porušování pravidel,</w:t>
      </w:r>
    </w:p>
    <w:p>
      <w:pPr>
        <w:pStyle w:val="Compact"/>
        <w:numPr>
          <w:ilvl w:val="1"/>
          <w:numId w:val="2"/>
        </w:numPr>
        <w:rPr/>
      </w:pPr>
      <w:r>
        <w:rPr/>
        <w:t>postoji žáka k nápravě.</w:t>
      </w:r>
    </w:p>
    <w:p>
      <w:pPr>
        <w:pStyle w:val="Normal"/>
        <w:numPr>
          <w:ilvl w:val="0"/>
          <w:numId w:val="67"/>
        </w:numPr>
        <w:rPr/>
      </w:pPr>
      <w:r>
        <w:rPr/>
        <w:t>Hodnocení chování není založeno pouze na jednom izolovaném méně závažném přestupku.</w:t>
      </w:r>
    </w:p>
    <w:p>
      <w:pPr>
        <w:pStyle w:val="Normal"/>
        <w:rPr/>
      </w:pPr>
      <w:r>
        <w:rPr/>
        <mc:AlternateContent>
          <mc:Choice Requires="wps">
            <w:drawing>
              <wp:inline distT="0" distB="0" distL="0" distR="0">
                <wp:extent cx="5943600" cy="19050"/>
                <wp:effectExtent l="0" t="0" r="0" b="0"/>
                <wp:docPr id="12" name="Tvar12"/>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p>
    <w:p>
      <w:pPr>
        <w:pStyle w:val="Heading2"/>
        <w:rPr/>
      </w:pPr>
      <w:bookmarkStart w:id="30" w:name="pochvaly-a-jiná-ocenění"/>
      <w:r>
        <w:rPr/>
        <w:t>7.1 Pochvaly a jiná ocenění</w:t>
      </w:r>
    </w:p>
    <w:p>
      <w:pPr>
        <w:pStyle w:val="FirstParagraph"/>
        <w:rPr/>
      </w:pPr>
      <w:r>
        <w:rPr/>
        <w:t>Žákovi může být udělena pochvala nebo jiné ocenění zejména za:</w:t>
      </w:r>
    </w:p>
    <w:p>
      <w:pPr>
        <w:pStyle w:val="Compact"/>
        <w:numPr>
          <w:ilvl w:val="0"/>
          <w:numId w:val="2"/>
        </w:numPr>
        <w:rPr/>
      </w:pPr>
      <w:r>
        <w:rPr/>
        <w:t>mimořádný projev školní iniciativy,</w:t>
      </w:r>
    </w:p>
    <w:p>
      <w:pPr>
        <w:pStyle w:val="Compact"/>
        <w:numPr>
          <w:ilvl w:val="0"/>
          <w:numId w:val="2"/>
        </w:numPr>
        <w:rPr/>
      </w:pPr>
      <w:r>
        <w:rPr/>
        <w:t>dlouhodobě úspěšnou práci,</w:t>
      </w:r>
    </w:p>
    <w:p>
      <w:pPr>
        <w:pStyle w:val="Compact"/>
        <w:numPr>
          <w:ilvl w:val="0"/>
          <w:numId w:val="2"/>
        </w:numPr>
        <w:rPr/>
      </w:pPr>
      <w:r>
        <w:rPr/>
        <w:t>výrazný studijní pokrok,</w:t>
      </w:r>
    </w:p>
    <w:p>
      <w:pPr>
        <w:pStyle w:val="Compact"/>
        <w:numPr>
          <w:ilvl w:val="0"/>
          <w:numId w:val="2"/>
        </w:numPr>
        <w:rPr/>
      </w:pPr>
      <w:r>
        <w:rPr/>
        <w:t>reprezentaci školy,</w:t>
      </w:r>
    </w:p>
    <w:p>
      <w:pPr>
        <w:pStyle w:val="Compact"/>
        <w:numPr>
          <w:ilvl w:val="0"/>
          <w:numId w:val="2"/>
        </w:numPr>
        <w:rPr/>
      </w:pPr>
      <w:r>
        <w:rPr/>
        <w:t>úspěchy v soutěžích,</w:t>
      </w:r>
    </w:p>
    <w:p>
      <w:pPr>
        <w:pStyle w:val="Compact"/>
        <w:numPr>
          <w:ilvl w:val="0"/>
          <w:numId w:val="2"/>
        </w:numPr>
        <w:rPr/>
      </w:pPr>
      <w:r>
        <w:rPr/>
        <w:t>mimořádný čin,</w:t>
      </w:r>
    </w:p>
    <w:p>
      <w:pPr>
        <w:pStyle w:val="Compact"/>
        <w:numPr>
          <w:ilvl w:val="0"/>
          <w:numId w:val="2"/>
        </w:numPr>
        <w:rPr/>
      </w:pPr>
      <w:r>
        <w:rPr/>
        <w:t>pomoc druhým,</w:t>
      </w:r>
    </w:p>
    <w:p>
      <w:pPr>
        <w:pStyle w:val="Compact"/>
        <w:numPr>
          <w:ilvl w:val="0"/>
          <w:numId w:val="2"/>
        </w:numPr>
        <w:rPr/>
      </w:pPr>
      <w:r>
        <w:rPr/>
        <w:t>příkladné chování,</w:t>
      </w:r>
    </w:p>
    <w:p>
      <w:pPr>
        <w:pStyle w:val="Compact"/>
        <w:numPr>
          <w:ilvl w:val="0"/>
          <w:numId w:val="2"/>
        </w:numPr>
        <w:rPr/>
      </w:pPr>
      <w:r>
        <w:rPr/>
        <w:t>aktivní přístup k životu školy.</w:t>
      </w:r>
    </w:p>
    <w:p>
      <w:pPr>
        <w:pStyle w:val="FirstParagraph"/>
        <w:rPr/>
      </w:pPr>
      <w:r>
        <w:rPr/>
        <w:t>Pochvalu nebo jiné ocenění lze udělit v souladu se školním řádem.</w:t>
      </w:r>
    </w:p>
    <w:p>
      <w:pPr>
        <w:pStyle w:val="Normal"/>
        <w:rPr/>
      </w:pPr>
      <w:r>
        <w:rPr/>
        <mc:AlternateContent>
          <mc:Choice Requires="wps">
            <w:drawing>
              <wp:inline distT="0" distB="0" distL="0" distR="0">
                <wp:extent cx="5943600" cy="19050"/>
                <wp:effectExtent l="0" t="0" r="0" b="0"/>
                <wp:docPr id="13" name="Tvar13"/>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30"/>
    </w:p>
    <w:p>
      <w:pPr>
        <w:pStyle w:val="Heading2"/>
        <w:rPr/>
      </w:pPr>
      <w:bookmarkStart w:id="31" w:name="kázeňská-opatření"/>
      <w:r>
        <w:rPr/>
        <w:t>7.2 Kázeňská opatření</w:t>
      </w:r>
    </w:p>
    <w:p>
      <w:pPr>
        <w:pStyle w:val="FirstParagraph"/>
        <w:rPr/>
      </w:pPr>
      <w:r>
        <w:rPr/>
        <w:t>Při porušení povinností stanovených školním řádem mohou být žákovi uložena kázeňská opatření v souladu s právními předpisy a školním řádem.</w:t>
      </w:r>
    </w:p>
    <w:p>
      <w:pPr>
        <w:pStyle w:val="Heading3"/>
        <w:rPr/>
      </w:pPr>
      <w:bookmarkStart w:id="32" w:name="napomenutí-třídního-učitele"/>
      <w:r>
        <w:rPr/>
        <w:t>Napomenutí třídního učitele</w:t>
      </w:r>
    </w:p>
    <w:p>
      <w:pPr>
        <w:pStyle w:val="FirstParagraph"/>
        <w:rPr/>
      </w:pPr>
      <w:r>
        <w:rPr/>
        <w:t>Může být uděleno zejména za opakované méně závažné porušování povinností, například:</w:t>
      </w:r>
    </w:p>
    <w:p>
      <w:pPr>
        <w:pStyle w:val="Compact"/>
        <w:numPr>
          <w:ilvl w:val="0"/>
          <w:numId w:val="2"/>
        </w:numPr>
        <w:rPr/>
      </w:pPr>
      <w:r>
        <w:rPr/>
        <w:t>nepřipravenost na vyučování,</w:t>
      </w:r>
    </w:p>
    <w:p>
      <w:pPr>
        <w:pStyle w:val="Compact"/>
        <w:numPr>
          <w:ilvl w:val="0"/>
          <w:numId w:val="2"/>
        </w:numPr>
        <w:rPr/>
      </w:pPr>
      <w:r>
        <w:rPr/>
        <w:t>opakované nesplnění zadaného úkolu,</w:t>
      </w:r>
    </w:p>
    <w:p>
      <w:pPr>
        <w:pStyle w:val="Compact"/>
        <w:numPr>
          <w:ilvl w:val="0"/>
          <w:numId w:val="2"/>
        </w:numPr>
        <w:rPr/>
      </w:pPr>
      <w:r>
        <w:rPr/>
        <w:t>nepozornost,</w:t>
      </w:r>
    </w:p>
    <w:p>
      <w:pPr>
        <w:pStyle w:val="Compact"/>
        <w:numPr>
          <w:ilvl w:val="0"/>
          <w:numId w:val="2"/>
        </w:numPr>
        <w:rPr/>
      </w:pPr>
      <w:r>
        <w:rPr/>
        <w:t>opakované nevhodné chování,</w:t>
      </w:r>
    </w:p>
    <w:p>
      <w:pPr>
        <w:pStyle w:val="Compact"/>
        <w:numPr>
          <w:ilvl w:val="0"/>
          <w:numId w:val="2"/>
        </w:numPr>
        <w:rPr/>
      </w:pPr>
      <w:r>
        <w:rPr/>
        <w:t>nedodržování běžných pravidel školy.</w:t>
      </w:r>
      <w:bookmarkEnd w:id="32"/>
    </w:p>
    <w:p>
      <w:pPr>
        <w:pStyle w:val="Heading3"/>
        <w:rPr/>
      </w:pPr>
      <w:bookmarkStart w:id="33" w:name="důtka-třídního-učitele"/>
      <w:r>
        <w:rPr/>
        <w:t>Důtka třídního učitele</w:t>
      </w:r>
    </w:p>
    <w:p>
      <w:pPr>
        <w:pStyle w:val="FirstParagraph"/>
        <w:rPr/>
      </w:pPr>
      <w:r>
        <w:rPr/>
        <w:t>Může být udělena zejména za opakované porušování povinností po předchozím napomenutí nebo za závažnější porušení školního řádu.</w:t>
      </w:r>
      <w:bookmarkEnd w:id="33"/>
    </w:p>
    <w:p>
      <w:pPr>
        <w:pStyle w:val="Heading3"/>
        <w:rPr/>
      </w:pPr>
      <w:bookmarkStart w:id="34" w:name="důtka-ředitele-školy"/>
      <w:r>
        <w:rPr/>
        <w:t>Důtka ředitele školy</w:t>
      </w:r>
    </w:p>
    <w:p>
      <w:pPr>
        <w:pStyle w:val="FirstParagraph"/>
        <w:rPr/>
      </w:pPr>
      <w:r>
        <w:rPr/>
        <w:t>Může být uložena za závažné nebo opakované porušování povinností stanovených školním řádem, zejména pokud předchozí výchovná opatření nevedla k nápravě.</w:t>
      </w:r>
    </w:p>
    <w:p>
      <w:pPr>
        <w:pStyle w:val="BodyText"/>
        <w:rPr/>
      </w:pPr>
      <w:r>
        <w:rPr/>
        <w:t>Při ukládání kázeňských opatření škola postupuje podle aktuálních právních předpisů a školního řádu.</w:t>
      </w:r>
    </w:p>
    <w:p>
      <w:pPr>
        <w:pStyle w:val="Normal"/>
        <w:rPr/>
      </w:pPr>
      <w:r>
        <w:rPr/>
        <mc:AlternateContent>
          <mc:Choice Requires="wps">
            <w:drawing>
              <wp:inline distT="0" distB="0" distL="0" distR="0">
                <wp:extent cx="5943600" cy="19050"/>
                <wp:effectExtent l="0" t="0" r="0" b="0"/>
                <wp:docPr id="14" name="Tvar14"/>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29"/>
      <w:bookmarkEnd w:id="31"/>
      <w:bookmarkEnd w:id="34"/>
    </w:p>
    <w:p>
      <w:pPr>
        <w:pStyle w:val="Heading1"/>
        <w:rPr/>
      </w:pPr>
      <w:bookmarkStart w:id="35" w:name="stupně-hodnocení-chování"/>
      <w:r>
        <w:rPr/>
        <w:t>7.3 Stupně hodnocení chování</w:t>
      </w:r>
    </w:p>
    <w:p>
      <w:pPr>
        <w:pStyle w:val="Heading3"/>
        <w:rPr/>
      </w:pPr>
      <w:bookmarkStart w:id="36" w:name="stupeň-1-velmi-dobré"/>
      <w:r>
        <w:rPr/>
        <w:t>Stupeň 1 – velmi dobré</w:t>
      </w:r>
    </w:p>
    <w:p>
      <w:pPr>
        <w:pStyle w:val="FirstParagraph"/>
        <w:rPr/>
      </w:pPr>
      <w:r>
        <w:rPr/>
        <w:t>Žák uvědoměle dodržuje pravidla chování stanovená školním řádem. Dopouští se pouze méně závažných a ojedinělých přestupků. Na výchovné působení reaguje a snaží se své chyby napravit.</w:t>
      </w:r>
      <w:bookmarkEnd w:id="36"/>
    </w:p>
    <w:p>
      <w:pPr>
        <w:pStyle w:val="Heading3"/>
        <w:rPr/>
      </w:pPr>
      <w:bookmarkStart w:id="37" w:name="stupeň-2-uspokojivé"/>
      <w:r>
        <w:rPr/>
        <w:t>Stupeň 2 – uspokojivé</w:t>
      </w:r>
    </w:p>
    <w:p>
      <w:pPr>
        <w:pStyle w:val="FirstParagraph"/>
        <w:rPr/>
      </w:pPr>
      <w:r>
        <w:rPr/>
        <w:t>Chování žáka je v rozporu s pravidly školního řádu. Žák se opakovaně dopouští přestupků nebo se dopustí závažnějšího porušení pravidel. Přijatá výchovná opatření nejsou dostatečně účinná.</w:t>
      </w:r>
    </w:p>
    <w:p>
      <w:pPr>
        <w:pStyle w:val="BodyText"/>
        <w:rPr/>
      </w:pPr>
      <w:r>
        <w:rPr/>
        <w:t>Za závažné porušení lze považovat zejména hrubé slovní nebo fyzické útoky, projevy šikanování, úmyslné ohrožování bezpečnosti, opakované neomluvené absence, svévolné opuštění školy bez vědomí pedagogického pracovníka nebo závažné porušení zákazu návykových látek.</w:t>
      </w:r>
      <w:bookmarkEnd w:id="37"/>
    </w:p>
    <w:p>
      <w:pPr>
        <w:pStyle w:val="Heading3"/>
        <w:rPr/>
      </w:pPr>
      <w:bookmarkStart w:id="38" w:name="stupeň-3-neuspokojivé"/>
      <w:r>
        <w:rPr/>
        <w:t>Stupeň 3 – neuspokojivé</w:t>
      </w:r>
    </w:p>
    <w:p>
      <w:pPr>
        <w:pStyle w:val="FirstParagraph"/>
        <w:rPr/>
      </w:pPr>
      <w:r>
        <w:rPr/>
        <w:t>Chování žáka je v příkrém rozporu s pravidly školního řádu. Žák se opakovaně dopouští závažných přestupků nebo se dopustí jednání, kterým závažně ohrožuje bezpečnost nebo zdraví jiných osob, případně záměrně hrubým způsobem narušuje vzdělávání.</w:t>
      </w:r>
    </w:p>
    <w:p>
      <w:pPr>
        <w:pStyle w:val="Normal"/>
        <w:rPr/>
      </w:pPr>
      <w:r>
        <w:rPr/>
        <mc:AlternateContent>
          <mc:Choice Requires="wps">
            <w:drawing>
              <wp:inline distT="0" distB="0" distL="0" distR="0">
                <wp:extent cx="5943600" cy="19050"/>
                <wp:effectExtent l="0" t="0" r="0" b="0"/>
                <wp:docPr id="15" name="Tvar15"/>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35"/>
      <w:bookmarkEnd w:id="38"/>
    </w:p>
    <w:p>
      <w:pPr>
        <w:pStyle w:val="Heading1"/>
        <w:rPr/>
      </w:pPr>
      <w:bookmarkStart w:id="39" w:name="X01a910d53b9883a52117bb315057fba45d9a790"/>
      <w:r>
        <w:rPr/>
        <w:t>8. Hodnocení žáků se speciálními vzdělávacími potřebami a žáků nadaných</w:t>
      </w:r>
    </w:p>
    <w:p>
      <w:pPr>
        <w:pStyle w:val="Normal"/>
        <w:numPr>
          <w:ilvl w:val="0"/>
          <w:numId w:val="68"/>
        </w:numPr>
        <w:rPr/>
      </w:pPr>
      <w:r>
        <w:rPr/>
        <w:t>Při hodnocení žáků se speciálními vzdělávacími potřebami škola vychází z jejich individuálních vzdělávacích potřeb a z doporučení školského poradenského zařízení.</w:t>
      </w:r>
    </w:p>
    <w:p>
      <w:pPr>
        <w:pStyle w:val="Normal"/>
        <w:numPr>
          <w:ilvl w:val="0"/>
          <w:numId w:val="69"/>
        </w:numPr>
        <w:rPr/>
      </w:pPr>
      <w:r>
        <w:rPr/>
        <w:t>Hodnocení musí zohledňovat poskytovaná podpůrná opatření.</w:t>
      </w:r>
    </w:p>
    <w:p>
      <w:pPr>
        <w:pStyle w:val="Normal"/>
        <w:numPr>
          <w:ilvl w:val="0"/>
          <w:numId w:val="70"/>
        </w:numPr>
        <w:rPr/>
      </w:pPr>
      <w:r>
        <w:rPr/>
        <w:t>Při hodnocení se přihlíží k individuálním možnostem žáka a jeho osobnímu pokroku.</w:t>
      </w:r>
    </w:p>
    <w:p>
      <w:pPr>
        <w:pStyle w:val="Normal"/>
        <w:numPr>
          <w:ilvl w:val="0"/>
          <w:numId w:val="71"/>
        </w:numPr>
        <w:rPr/>
      </w:pPr>
      <w:r>
        <w:rPr/>
        <w:t>Učitel volí takové formy ověřování znalostí a dovedností, které odpovídají vzdělávacím potřebám žáka.</w:t>
      </w:r>
    </w:p>
    <w:p>
      <w:pPr>
        <w:pStyle w:val="Normal"/>
        <w:numPr>
          <w:ilvl w:val="0"/>
          <w:numId w:val="72"/>
        </w:numPr>
        <w:rPr/>
      </w:pPr>
      <w:r>
        <w:rPr/>
        <w:t>Pokud je doporučen určitý způsob hodnocení, učitel jej respektuje.</w:t>
      </w:r>
    </w:p>
    <w:p>
      <w:pPr>
        <w:pStyle w:val="Normal"/>
        <w:numPr>
          <w:ilvl w:val="0"/>
          <w:numId w:val="73"/>
        </w:numPr>
        <w:rPr/>
      </w:pPr>
      <w:r>
        <w:rPr/>
        <w:t>U žáků nadaných a mimořádně nadaných se hodnocení zaměřuje také na jejich individuální rozvoj, tvořivost, schopnost aplikace znalostí a řešení náročnějších úkolů.</w:t>
      </w:r>
    </w:p>
    <w:p>
      <w:pPr>
        <w:pStyle w:val="Normal"/>
        <w:numPr>
          <w:ilvl w:val="0"/>
          <w:numId w:val="74"/>
        </w:numPr>
        <w:rPr/>
      </w:pPr>
      <w:r>
        <w:rPr/>
        <w:t>Nadanému žákovi škola poskytuje odpovídající vzdělávací podněty a podporuje jeho další rozvoj.</w:t>
      </w:r>
    </w:p>
    <w:p>
      <w:pPr>
        <w:pStyle w:val="Normal"/>
        <w:rPr/>
      </w:pPr>
      <w:r>
        <w:rPr/>
        <mc:AlternateContent>
          <mc:Choice Requires="wps">
            <w:drawing>
              <wp:inline distT="0" distB="0" distL="0" distR="0">
                <wp:extent cx="5943600" cy="19050"/>
                <wp:effectExtent l="0" t="0" r="0" b="0"/>
                <wp:docPr id="16" name="Tvar16"/>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39"/>
    </w:p>
    <w:p>
      <w:pPr>
        <w:pStyle w:val="Heading1"/>
        <w:rPr/>
      </w:pPr>
      <w:bookmarkStart w:id="40" w:name="slovní-hodnocení"/>
      <w:r>
        <w:rPr/>
        <w:t>9. Slovní hodnocení</w:t>
      </w:r>
    </w:p>
    <w:p>
      <w:pPr>
        <w:pStyle w:val="Normal"/>
        <w:numPr>
          <w:ilvl w:val="0"/>
          <w:numId w:val="75"/>
        </w:numPr>
        <w:rPr/>
      </w:pPr>
      <w:r>
        <w:rPr/>
        <w:t>Výsledky vzdělávání žáka mohou být hodnoceny slovně nebo kombinací klasifikace a slovního hodnocení v souladu s rozhodnutím školy.</w:t>
      </w:r>
    </w:p>
    <w:p>
      <w:pPr>
        <w:pStyle w:val="Normal"/>
        <w:numPr>
          <w:ilvl w:val="0"/>
          <w:numId w:val="76"/>
        </w:numPr>
        <w:rPr/>
      </w:pPr>
      <w:r>
        <w:rPr/>
        <w:t>Slovní hodnocení musí být věcné, konkrétní a srozumitelné.</w:t>
      </w:r>
    </w:p>
    <w:p>
      <w:pPr>
        <w:pStyle w:val="Normal"/>
        <w:numPr>
          <w:ilvl w:val="0"/>
          <w:numId w:val="77"/>
        </w:numPr>
        <w:rPr/>
      </w:pPr>
      <w:r>
        <w:rPr/>
        <w:t>Slovní hodnocení vyjadřuje zejména:</w:t>
      </w:r>
    </w:p>
    <w:p>
      <w:pPr>
        <w:pStyle w:val="Compact"/>
        <w:numPr>
          <w:ilvl w:val="1"/>
          <w:numId w:val="2"/>
        </w:numPr>
        <w:rPr/>
      </w:pPr>
      <w:r>
        <w:rPr/>
        <w:t>úroveň dosažených znalostí a dovedností,</w:t>
      </w:r>
    </w:p>
    <w:p>
      <w:pPr>
        <w:pStyle w:val="Compact"/>
        <w:numPr>
          <w:ilvl w:val="1"/>
          <w:numId w:val="2"/>
        </w:numPr>
        <w:rPr/>
      </w:pPr>
      <w:r>
        <w:rPr/>
        <w:t>míru zvládnutí očekávaných výstupů,</w:t>
      </w:r>
    </w:p>
    <w:p>
      <w:pPr>
        <w:pStyle w:val="Compact"/>
        <w:numPr>
          <w:ilvl w:val="1"/>
          <w:numId w:val="2"/>
        </w:numPr>
        <w:rPr/>
      </w:pPr>
      <w:r>
        <w:rPr/>
        <w:t>schopnost aplikovat získané poznatky,</w:t>
      </w:r>
    </w:p>
    <w:p>
      <w:pPr>
        <w:pStyle w:val="Compact"/>
        <w:numPr>
          <w:ilvl w:val="1"/>
          <w:numId w:val="2"/>
        </w:numPr>
        <w:rPr/>
      </w:pPr>
      <w:r>
        <w:rPr/>
        <w:t>samostatnost,</w:t>
      </w:r>
    </w:p>
    <w:p>
      <w:pPr>
        <w:pStyle w:val="Compact"/>
        <w:numPr>
          <w:ilvl w:val="1"/>
          <w:numId w:val="2"/>
        </w:numPr>
        <w:rPr/>
      </w:pPr>
      <w:r>
        <w:rPr/>
        <w:t>aktivitu,</w:t>
      </w:r>
    </w:p>
    <w:p>
      <w:pPr>
        <w:pStyle w:val="Compact"/>
        <w:numPr>
          <w:ilvl w:val="1"/>
          <w:numId w:val="2"/>
        </w:numPr>
        <w:rPr/>
      </w:pPr>
      <w:r>
        <w:rPr/>
        <w:t>píli,</w:t>
      </w:r>
    </w:p>
    <w:p>
      <w:pPr>
        <w:pStyle w:val="Compact"/>
        <w:numPr>
          <w:ilvl w:val="1"/>
          <w:numId w:val="2"/>
        </w:numPr>
        <w:rPr/>
      </w:pPr>
      <w:r>
        <w:rPr/>
        <w:t>přístup ke vzdělávání,</w:t>
      </w:r>
    </w:p>
    <w:p>
      <w:pPr>
        <w:pStyle w:val="Compact"/>
        <w:numPr>
          <w:ilvl w:val="1"/>
          <w:numId w:val="2"/>
        </w:numPr>
        <w:rPr/>
      </w:pPr>
      <w:r>
        <w:rPr/>
        <w:t>individuální pokrok,</w:t>
      </w:r>
    </w:p>
    <w:p>
      <w:pPr>
        <w:pStyle w:val="Compact"/>
        <w:numPr>
          <w:ilvl w:val="1"/>
          <w:numId w:val="2"/>
        </w:numPr>
        <w:rPr/>
      </w:pPr>
      <w:r>
        <w:rPr/>
        <w:t>oblasti, ve kterých se žák potřebuje dále rozvíjet.</w:t>
      </w:r>
    </w:p>
    <w:p>
      <w:pPr>
        <w:pStyle w:val="Normal"/>
        <w:numPr>
          <w:ilvl w:val="0"/>
          <w:numId w:val="78"/>
        </w:numPr>
        <w:rPr/>
      </w:pPr>
      <w:r>
        <w:rPr/>
        <w:t>Slovní hodnocení může obsahovat také doporučení pro další vzdělávání žáka.</w:t>
      </w:r>
    </w:p>
    <w:p>
      <w:pPr>
        <w:pStyle w:val="Normal"/>
        <w:numPr>
          <w:ilvl w:val="0"/>
          <w:numId w:val="79"/>
        </w:numPr>
        <w:rPr/>
      </w:pPr>
      <w:r>
        <w:rPr/>
        <w:t>Při slovním hodnocení se vždy přihlíží k individuálním možnostem žáka, jeho vzdělávacím a osobnostním předpokladům a věku.</w:t>
      </w:r>
    </w:p>
    <w:p>
      <w:pPr>
        <w:pStyle w:val="Normal"/>
        <w:rPr/>
      </w:pPr>
      <w:r>
        <w:rPr/>
        <mc:AlternateContent>
          <mc:Choice Requires="wps">
            <w:drawing>
              <wp:inline distT="0" distB="0" distL="0" distR="0">
                <wp:extent cx="5943600" cy="19050"/>
                <wp:effectExtent l="0" t="0" r="0" b="0"/>
                <wp:docPr id="17" name="Tvar17"/>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p>
    <w:p>
      <w:pPr>
        <w:pStyle w:val="Heading2"/>
        <w:rPr/>
      </w:pPr>
      <w:bookmarkStart w:id="41" w:name="X8173b59bca111a2be8f37337c106dc4a5d7a483"/>
      <w:r>
        <w:rPr/>
        <w:t>9.1 Orientační převod slovního hodnocení na klasifikační stupeň</w:t>
      </w:r>
    </w:p>
    <w:p>
      <w:pPr>
        <w:pStyle w:val="Heading3"/>
        <w:rPr/>
      </w:pPr>
      <w:bookmarkStart w:id="42" w:name="ovládnutí-učiva"/>
      <w:r>
        <w:rPr/>
        <w:t>Ovládnutí učiva</w:t>
      </w:r>
    </w:p>
    <w:p>
      <w:pPr>
        <w:pStyle w:val="FirstParagraph"/>
        <w:rPr/>
      </w:pPr>
      <w:r>
        <w:rPr>
          <w:b/>
          <w:bCs/>
        </w:rPr>
        <w:t>1 – výborný:</w:t>
      </w:r>
      <w:r>
        <w:rPr/>
        <w:t xml:space="preserve"> učivo ovládá bezpečně a spolehlivě.</w:t>
      </w:r>
    </w:p>
    <w:p>
      <w:pPr>
        <w:pStyle w:val="BodyText"/>
        <w:rPr/>
      </w:pPr>
      <w:r>
        <w:rPr>
          <w:b/>
          <w:bCs/>
        </w:rPr>
        <w:t>2 – chvalitebný:</w:t>
      </w:r>
      <w:r>
        <w:rPr/>
        <w:t xml:space="preserve"> učivo ovládá s drobnými nedostatky.</w:t>
      </w:r>
    </w:p>
    <w:p>
      <w:pPr>
        <w:pStyle w:val="BodyText"/>
        <w:rPr/>
      </w:pPr>
      <w:r>
        <w:rPr>
          <w:b/>
          <w:bCs/>
        </w:rPr>
        <w:t>3 – dobrý:</w:t>
      </w:r>
      <w:r>
        <w:rPr/>
        <w:t xml:space="preserve"> učivo v podstatě ovládá, potřebuje dílčí podporu.</w:t>
      </w:r>
    </w:p>
    <w:p>
      <w:pPr>
        <w:pStyle w:val="BodyText"/>
        <w:rPr/>
      </w:pPr>
      <w:r>
        <w:rPr>
          <w:b/>
          <w:bCs/>
        </w:rPr>
        <w:t>4 – dostatečný:</w:t>
      </w:r>
      <w:r>
        <w:rPr/>
        <w:t xml:space="preserve"> učivo ovládá se značnými mezerami.</w:t>
      </w:r>
    </w:p>
    <w:p>
      <w:pPr>
        <w:pStyle w:val="BodyText"/>
        <w:rPr/>
      </w:pPr>
      <w:r>
        <w:rPr>
          <w:b/>
          <w:bCs/>
        </w:rPr>
        <w:t>5 – nedostatečný:</w:t>
      </w:r>
      <w:r>
        <w:rPr/>
        <w:t xml:space="preserve"> učivo neovládá.</w:t>
      </w:r>
      <w:bookmarkEnd w:id="42"/>
    </w:p>
    <w:p>
      <w:pPr>
        <w:pStyle w:val="Heading3"/>
        <w:rPr/>
      </w:pPr>
      <w:bookmarkStart w:id="43" w:name="myšlení"/>
      <w:r>
        <w:rPr/>
        <w:t>Myšlení</w:t>
      </w:r>
    </w:p>
    <w:p>
      <w:pPr>
        <w:pStyle w:val="FirstParagraph"/>
        <w:rPr/>
      </w:pPr>
      <w:r>
        <w:rPr>
          <w:b/>
          <w:bCs/>
        </w:rPr>
        <w:t>1 – výborný:</w:t>
      </w:r>
      <w:r>
        <w:rPr/>
        <w:t xml:space="preserve"> myslí pohotově, samostatně, chápe souvislosti a dokáže své poznatky tvořivě využívat.</w:t>
      </w:r>
    </w:p>
    <w:p>
      <w:pPr>
        <w:pStyle w:val="BodyText"/>
        <w:rPr/>
      </w:pPr>
      <w:r>
        <w:rPr>
          <w:b/>
          <w:bCs/>
        </w:rPr>
        <w:t>2 – chvalitebný:</w:t>
      </w:r>
      <w:r>
        <w:rPr/>
        <w:t xml:space="preserve"> uvažuje převážně samostatně a chápe základní souvislosti.</w:t>
      </w:r>
    </w:p>
    <w:p>
      <w:pPr>
        <w:pStyle w:val="BodyText"/>
        <w:rPr/>
      </w:pPr>
      <w:r>
        <w:rPr>
          <w:b/>
          <w:bCs/>
        </w:rPr>
        <w:t>3 – dobrý:</w:t>
      </w:r>
      <w:r>
        <w:rPr/>
        <w:t xml:space="preserve"> v myšlení je méně samostatný a potřebuje pomoc.</w:t>
      </w:r>
    </w:p>
    <w:p>
      <w:pPr>
        <w:pStyle w:val="BodyText"/>
        <w:rPr/>
      </w:pPr>
      <w:r>
        <w:rPr>
          <w:b/>
          <w:bCs/>
        </w:rPr>
        <w:t>4 – dostatečný:</w:t>
      </w:r>
      <w:r>
        <w:rPr/>
        <w:t xml:space="preserve"> jeho myšlení je nesamostatné a vyžaduje výraznou podporu.</w:t>
      </w:r>
    </w:p>
    <w:p>
      <w:pPr>
        <w:pStyle w:val="BodyText"/>
        <w:rPr/>
      </w:pPr>
      <w:r>
        <w:rPr>
          <w:b/>
          <w:bCs/>
        </w:rPr>
        <w:t>5 – nedostatečný:</w:t>
      </w:r>
      <w:r>
        <w:rPr/>
        <w:t xml:space="preserve"> nedokáže úkol řešit ani s přiměřenou pomocí.</w:t>
      </w:r>
      <w:bookmarkEnd w:id="43"/>
    </w:p>
    <w:p>
      <w:pPr>
        <w:pStyle w:val="Heading3"/>
        <w:rPr/>
      </w:pPr>
      <w:bookmarkStart w:id="44" w:name="vyjadřování"/>
      <w:r>
        <w:rPr/>
        <w:t>Vyjadřování</w:t>
      </w:r>
    </w:p>
    <w:p>
      <w:pPr>
        <w:pStyle w:val="FirstParagraph"/>
        <w:rPr/>
      </w:pPr>
      <w:r>
        <w:rPr>
          <w:b/>
          <w:bCs/>
        </w:rPr>
        <w:t>1 – výborný:</w:t>
      </w:r>
      <w:r>
        <w:rPr/>
        <w:t xml:space="preserve"> vyjadřuje se výstižně, správně a přiměřeně.</w:t>
      </w:r>
    </w:p>
    <w:p>
      <w:pPr>
        <w:pStyle w:val="BodyText"/>
        <w:rPr/>
      </w:pPr>
      <w:r>
        <w:rPr>
          <w:b/>
          <w:bCs/>
        </w:rPr>
        <w:t>2 – chvalitebný:</w:t>
      </w:r>
      <w:r>
        <w:rPr/>
        <w:t xml:space="preserve"> vyjadřuje se převážně správně, s drobnými nepřesnostmi.</w:t>
      </w:r>
    </w:p>
    <w:p>
      <w:pPr>
        <w:pStyle w:val="BodyText"/>
        <w:rPr/>
      </w:pPr>
      <w:r>
        <w:rPr>
          <w:b/>
          <w:bCs/>
        </w:rPr>
        <w:t>3 – dobrý:</w:t>
      </w:r>
      <w:r>
        <w:rPr/>
        <w:t xml:space="preserve"> vyjadřuje se méně přesně a potřebuje pomoc.</w:t>
      </w:r>
    </w:p>
    <w:p>
      <w:pPr>
        <w:pStyle w:val="BodyText"/>
        <w:rPr/>
      </w:pPr>
      <w:r>
        <w:rPr>
          <w:b/>
          <w:bCs/>
        </w:rPr>
        <w:t>4 – dostatečný:</w:t>
      </w:r>
      <w:r>
        <w:rPr/>
        <w:t xml:space="preserve"> ve vyjadřování má značné obtíže.</w:t>
      </w:r>
    </w:p>
    <w:p>
      <w:pPr>
        <w:pStyle w:val="BodyText"/>
        <w:rPr/>
      </w:pPr>
      <w:r>
        <w:rPr>
          <w:b/>
          <w:bCs/>
        </w:rPr>
        <w:t>5 – nedostatečný:</w:t>
      </w:r>
      <w:r>
        <w:rPr/>
        <w:t xml:space="preserve"> nedokáže se samostatně a srozumitelně vyjádřit.</w:t>
      </w:r>
    </w:p>
    <w:p>
      <w:pPr>
        <w:pStyle w:val="Normal"/>
        <w:rPr/>
      </w:pPr>
      <w:r>
        <w:rPr/>
        <mc:AlternateContent>
          <mc:Choice Requires="wps">
            <w:drawing>
              <wp:inline distT="0" distB="0" distL="0" distR="0">
                <wp:extent cx="5943600" cy="19050"/>
                <wp:effectExtent l="0" t="0" r="0" b="0"/>
                <wp:docPr id="18" name="Tvar18"/>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40"/>
      <w:bookmarkEnd w:id="41"/>
      <w:bookmarkEnd w:id="44"/>
    </w:p>
    <w:p>
      <w:pPr>
        <w:pStyle w:val="Heading1"/>
        <w:rPr/>
      </w:pPr>
      <w:bookmarkStart w:id="45" w:name="X5d9de95d5b1a1b11f559b0455543f5e27fa1f5b"/>
      <w:r>
        <w:rPr/>
        <w:t>10. Hodnocení žáků s potřebou zvýšené podpory</w:t>
      </w:r>
    </w:p>
    <w:p>
      <w:pPr>
        <w:pStyle w:val="Normal"/>
        <w:numPr>
          <w:ilvl w:val="0"/>
          <w:numId w:val="80"/>
        </w:numPr>
        <w:rPr/>
      </w:pPr>
      <w:r>
        <w:rPr/>
        <w:t>Při hodnocení žáků s výraznějšími vzdělávacími obtížemi škola vychází z doporučení školského poradenského zařízení a z nastavených podpůrných opatření.</w:t>
      </w:r>
    </w:p>
    <w:p>
      <w:pPr>
        <w:pStyle w:val="Normal"/>
        <w:numPr>
          <w:ilvl w:val="0"/>
          <w:numId w:val="81"/>
        </w:numPr>
        <w:rPr/>
      </w:pPr>
      <w:r>
        <w:rPr/>
        <w:t>Učitel přihlíží k individuálnímu vzdělávacímu pokroku žáka.</w:t>
      </w:r>
    </w:p>
    <w:p>
      <w:pPr>
        <w:pStyle w:val="Normal"/>
        <w:numPr>
          <w:ilvl w:val="0"/>
          <w:numId w:val="82"/>
        </w:numPr>
        <w:rPr/>
      </w:pPr>
      <w:r>
        <w:rPr/>
        <w:t>Hodnocení musí odpovídat možnostem žáka a nesmí být založeno na požadavcích, které jsou v rozporu s doporučenými podpůrnými opatřeními.</w:t>
      </w:r>
    </w:p>
    <w:p>
      <w:pPr>
        <w:pStyle w:val="Normal"/>
        <w:numPr>
          <w:ilvl w:val="0"/>
          <w:numId w:val="83"/>
        </w:numPr>
        <w:rPr/>
      </w:pPr>
      <w:r>
        <w:rPr/>
        <w:t>Při hodnocení se může využívat zejména:</w:t>
      </w:r>
    </w:p>
    <w:p>
      <w:pPr>
        <w:pStyle w:val="Compact"/>
        <w:numPr>
          <w:ilvl w:val="1"/>
          <w:numId w:val="2"/>
        </w:numPr>
        <w:rPr/>
      </w:pPr>
      <w:r>
        <w:rPr/>
        <w:t>slovní zpětná vazba,</w:t>
      </w:r>
    </w:p>
    <w:p>
      <w:pPr>
        <w:pStyle w:val="Compact"/>
        <w:numPr>
          <w:ilvl w:val="1"/>
          <w:numId w:val="2"/>
        </w:numPr>
        <w:rPr/>
      </w:pPr>
      <w:r>
        <w:rPr/>
        <w:t>kratší úkoly,</w:t>
      </w:r>
    </w:p>
    <w:p>
      <w:pPr>
        <w:pStyle w:val="Compact"/>
        <w:numPr>
          <w:ilvl w:val="1"/>
          <w:numId w:val="2"/>
        </w:numPr>
        <w:rPr/>
      </w:pPr>
      <w:r>
        <w:rPr/>
        <w:t>názorné pomůcky,</w:t>
      </w:r>
    </w:p>
    <w:p>
      <w:pPr>
        <w:pStyle w:val="Compact"/>
        <w:numPr>
          <w:ilvl w:val="1"/>
          <w:numId w:val="2"/>
        </w:numPr>
        <w:rPr/>
      </w:pPr>
      <w:r>
        <w:rPr/>
        <w:t>ústní ověřování,</w:t>
      </w:r>
    </w:p>
    <w:p>
      <w:pPr>
        <w:pStyle w:val="Compact"/>
        <w:numPr>
          <w:ilvl w:val="1"/>
          <w:numId w:val="2"/>
        </w:numPr>
        <w:rPr/>
      </w:pPr>
      <w:r>
        <w:rPr/>
        <w:t>praktické ověřování,</w:t>
      </w:r>
    </w:p>
    <w:p>
      <w:pPr>
        <w:pStyle w:val="Compact"/>
        <w:numPr>
          <w:ilvl w:val="1"/>
          <w:numId w:val="2"/>
        </w:numPr>
        <w:rPr/>
      </w:pPr>
      <w:r>
        <w:rPr/>
        <w:t>prodloužený čas,</w:t>
      </w:r>
    </w:p>
    <w:p>
      <w:pPr>
        <w:pStyle w:val="Compact"/>
        <w:numPr>
          <w:ilvl w:val="1"/>
          <w:numId w:val="2"/>
        </w:numPr>
        <w:rPr/>
      </w:pPr>
      <w:r>
        <w:rPr/>
        <w:t>individuální vedení,</w:t>
      </w:r>
    </w:p>
    <w:p>
      <w:pPr>
        <w:pStyle w:val="Compact"/>
        <w:numPr>
          <w:ilvl w:val="1"/>
          <w:numId w:val="2"/>
        </w:numPr>
        <w:rPr/>
      </w:pPr>
      <w:r>
        <w:rPr/>
        <w:t>jiné doporučené postupy.</w:t>
      </w:r>
    </w:p>
    <w:p>
      <w:pPr>
        <w:pStyle w:val="Normal"/>
        <w:numPr>
          <w:ilvl w:val="0"/>
          <w:numId w:val="84"/>
        </w:numPr>
        <w:rPr/>
      </w:pPr>
      <w:r>
        <w:rPr/>
        <w:t>Cílem hodnocení je především podpora dalšího vzdělávacího rozvoje žáka.</w:t>
      </w:r>
    </w:p>
    <w:p>
      <w:pPr>
        <w:pStyle w:val="Normal"/>
        <w:rPr/>
      </w:pPr>
      <w:r>
        <w:rPr/>
        <mc:AlternateContent>
          <mc:Choice Requires="wps">
            <w:drawing>
              <wp:inline distT="0" distB="0" distL="0" distR="0">
                <wp:extent cx="5943600" cy="19050"/>
                <wp:effectExtent l="0" t="0" r="0" b="0"/>
                <wp:docPr id="19" name="Tvar19"/>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45"/>
    </w:p>
    <w:p>
      <w:pPr>
        <w:pStyle w:val="Heading1"/>
        <w:rPr/>
      </w:pPr>
      <w:bookmarkStart w:id="46" w:name="informování-zákonných-zástupců"/>
      <w:r>
        <w:rPr/>
        <w:t>11. Informování zákonných zástupců</w:t>
      </w:r>
    </w:p>
    <w:p>
      <w:pPr>
        <w:pStyle w:val="Normal"/>
        <w:numPr>
          <w:ilvl w:val="0"/>
          <w:numId w:val="85"/>
        </w:numPr>
        <w:rPr/>
      </w:pPr>
      <w:r>
        <w:rPr/>
        <w:t>Zákonní zástupci jsou o průběhu a výsledcích vzdělávání informováni průběžně.</w:t>
      </w:r>
    </w:p>
    <w:p>
      <w:pPr>
        <w:pStyle w:val="Normal"/>
        <w:numPr>
          <w:ilvl w:val="0"/>
          <w:numId w:val="86"/>
        </w:numPr>
        <w:rPr/>
      </w:pPr>
      <w:r>
        <w:rPr/>
        <w:t>Informování probíhá zejména:</w:t>
      </w:r>
    </w:p>
    <w:p>
      <w:pPr>
        <w:pStyle w:val="Compact"/>
        <w:numPr>
          <w:ilvl w:val="1"/>
          <w:numId w:val="2"/>
        </w:numPr>
        <w:rPr/>
      </w:pPr>
      <w:r>
        <w:rPr/>
        <w:t>prostřednictvím elektronického informačního systému školy,</w:t>
      </w:r>
    </w:p>
    <w:p>
      <w:pPr>
        <w:pStyle w:val="Compact"/>
        <w:numPr>
          <w:ilvl w:val="1"/>
          <w:numId w:val="2"/>
        </w:numPr>
        <w:rPr/>
      </w:pPr>
      <w:r>
        <w:rPr/>
        <w:t>prostřednictvím žákovské knížky, pokud je používána,</w:t>
      </w:r>
    </w:p>
    <w:p>
      <w:pPr>
        <w:pStyle w:val="Compact"/>
        <w:numPr>
          <w:ilvl w:val="1"/>
          <w:numId w:val="2"/>
        </w:numPr>
        <w:rPr/>
      </w:pPr>
      <w:r>
        <w:rPr/>
        <w:t>při třídních schůzkách,</w:t>
      </w:r>
    </w:p>
    <w:p>
      <w:pPr>
        <w:pStyle w:val="Compact"/>
        <w:numPr>
          <w:ilvl w:val="1"/>
          <w:numId w:val="2"/>
        </w:numPr>
        <w:rPr/>
      </w:pPr>
      <w:r>
        <w:rPr/>
        <w:t>při individuálních konzultacích,</w:t>
      </w:r>
    </w:p>
    <w:p>
      <w:pPr>
        <w:pStyle w:val="Compact"/>
        <w:numPr>
          <w:ilvl w:val="1"/>
          <w:numId w:val="2"/>
        </w:numPr>
        <w:rPr/>
      </w:pPr>
      <w:r>
        <w:rPr/>
        <w:t>prostřednictvím osobního, telefonického nebo elektronického kontaktu.</w:t>
      </w:r>
    </w:p>
    <w:p>
      <w:pPr>
        <w:pStyle w:val="Normal"/>
        <w:numPr>
          <w:ilvl w:val="0"/>
          <w:numId w:val="87"/>
        </w:numPr>
        <w:rPr/>
      </w:pPr>
      <w:r>
        <w:rPr/>
        <w:t>Při výrazném zhoršení prospěchu nebo chování žáka informuje učitel zákonného zástupce bez zbytečného odkladu.</w:t>
      </w:r>
    </w:p>
    <w:p>
      <w:pPr>
        <w:pStyle w:val="Normal"/>
        <w:numPr>
          <w:ilvl w:val="0"/>
          <w:numId w:val="88"/>
        </w:numPr>
        <w:rPr/>
      </w:pPr>
      <w:r>
        <w:rPr/>
        <w:t>O uloženém výchovném opatření jsou zákonní zástupci informováni způsobem stanoveným školním řádem.</w:t>
      </w:r>
    </w:p>
    <w:p>
      <w:pPr>
        <w:pStyle w:val="Normal"/>
        <w:numPr>
          <w:ilvl w:val="0"/>
          <w:numId w:val="89"/>
        </w:numPr>
        <w:rPr/>
      </w:pPr>
      <w:r>
        <w:rPr/>
        <w:t>Zákonný zástupce má právo získat informace o průběhu a výsledcích vzdělávání svého dítěte.</w:t>
      </w:r>
    </w:p>
    <w:p>
      <w:pPr>
        <w:pStyle w:val="Normal"/>
        <w:rPr/>
      </w:pPr>
      <w:r>
        <w:rPr/>
        <mc:AlternateContent>
          <mc:Choice Requires="wps">
            <w:drawing>
              <wp:inline distT="0" distB="0" distL="0" distR="0">
                <wp:extent cx="5943600" cy="19050"/>
                <wp:effectExtent l="0" t="0" r="0" b="0"/>
                <wp:docPr id="20" name="Tvar20"/>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46"/>
    </w:p>
    <w:p>
      <w:pPr>
        <w:pStyle w:val="Heading1"/>
        <w:rPr/>
      </w:pPr>
      <w:bookmarkStart w:id="47" w:name="hodnocení-na-vysvědčení"/>
      <w:r>
        <w:rPr/>
        <w:t>12. Hodnocení na vysvědčení</w:t>
      </w:r>
    </w:p>
    <w:p>
      <w:pPr>
        <w:pStyle w:val="Normal"/>
        <w:numPr>
          <w:ilvl w:val="0"/>
          <w:numId w:val="90"/>
        </w:numPr>
        <w:rPr/>
      </w:pPr>
      <w:r>
        <w:rPr/>
        <w:t>Každé pololetí se žákovi vydává vysvědčení; za první pololetí může být vydán výpis z vysvědčení.</w:t>
      </w:r>
    </w:p>
    <w:p>
      <w:pPr>
        <w:pStyle w:val="Normal"/>
        <w:numPr>
          <w:ilvl w:val="0"/>
          <w:numId w:val="91"/>
        </w:numPr>
        <w:rPr/>
      </w:pPr>
      <w:r>
        <w:rPr/>
        <w:t>Hodnocení výsledků vzdělávání na vysvědčení je vyjádřeno:</w:t>
      </w:r>
    </w:p>
    <w:p>
      <w:pPr>
        <w:pStyle w:val="Compact"/>
        <w:numPr>
          <w:ilvl w:val="1"/>
          <w:numId w:val="2"/>
        </w:numPr>
        <w:rPr/>
      </w:pPr>
      <w:r>
        <w:rPr/>
        <w:t>klasifikačním stupněm,</w:t>
      </w:r>
    </w:p>
    <w:p>
      <w:pPr>
        <w:pStyle w:val="Compact"/>
        <w:numPr>
          <w:ilvl w:val="1"/>
          <w:numId w:val="2"/>
        </w:numPr>
        <w:rPr/>
      </w:pPr>
      <w:r>
        <w:rPr/>
        <w:t>slovně,</w:t>
      </w:r>
    </w:p>
    <w:p>
      <w:pPr>
        <w:pStyle w:val="Compact"/>
        <w:numPr>
          <w:ilvl w:val="1"/>
          <w:numId w:val="2"/>
        </w:numPr>
        <w:rPr/>
      </w:pPr>
      <w:r>
        <w:rPr/>
        <w:t>nebo kombinací obou způsobů.</w:t>
      </w:r>
    </w:p>
    <w:p>
      <w:pPr>
        <w:pStyle w:val="Normal"/>
        <w:numPr>
          <w:ilvl w:val="0"/>
          <w:numId w:val="92"/>
        </w:numPr>
        <w:rPr/>
      </w:pPr>
      <w:r>
        <w:rPr/>
        <w:t>Výsledné hodnocení vychází z práce žáka za celé hodnocené období.</w:t>
      </w:r>
    </w:p>
    <w:p>
      <w:pPr>
        <w:pStyle w:val="Normal"/>
        <w:numPr>
          <w:ilvl w:val="0"/>
          <w:numId w:val="93"/>
        </w:numPr>
        <w:rPr/>
      </w:pPr>
      <w:r>
        <w:rPr/>
        <w:t>Výsledná známka není mechanickým aritmetickým průměrem jednotlivých průběžných známek.</w:t>
      </w:r>
    </w:p>
    <w:p>
      <w:pPr>
        <w:pStyle w:val="Normal"/>
        <w:numPr>
          <w:ilvl w:val="0"/>
          <w:numId w:val="94"/>
        </w:numPr>
        <w:rPr/>
      </w:pPr>
      <w:r>
        <w:rPr/>
        <w:t>Při stanovení výsledného hodnocení učitel zohlední zejména vývoj výkonu žáka, zvládnutí očekávaných výstupů, kvalitu práce, aktivitu, samostatnost a individuální pokrok.</w:t>
      </w:r>
    </w:p>
    <w:p>
      <w:pPr>
        <w:pStyle w:val="Normal"/>
        <w:rPr/>
      </w:pPr>
      <w:r>
        <w:rPr/>
        <mc:AlternateContent>
          <mc:Choice Requires="wps">
            <w:drawing>
              <wp:inline distT="0" distB="0" distL="0" distR="0">
                <wp:extent cx="5943600" cy="19050"/>
                <wp:effectExtent l="0" t="0" r="0" b="0"/>
                <wp:docPr id="21" name="Tvar21"/>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p>
    <w:p>
      <w:pPr>
        <w:pStyle w:val="Heading2"/>
        <w:rPr/>
      </w:pPr>
      <w:bookmarkStart w:id="48" w:name="stupně-hodnocení-prospěchu"/>
      <w:r>
        <w:rPr/>
        <w:t>12.1 Stupně hodnocení prospěchu</w:t>
      </w:r>
    </w:p>
    <w:p>
      <w:pPr>
        <w:pStyle w:val="FirstParagraph"/>
        <w:rPr/>
      </w:pPr>
      <w:r>
        <w:rPr>
          <w:b/>
          <w:bCs/>
        </w:rPr>
        <w:t>1 – výborný</w:t>
      </w:r>
    </w:p>
    <w:p>
      <w:pPr>
        <w:pStyle w:val="BodyText"/>
        <w:rPr/>
      </w:pPr>
      <w:r>
        <w:rPr/>
        <w:t>Žák dosahuje požadovaných výsledků na velmi dobré úrovni, učivo bezpečně zvládá a dokáže získané vědomosti a dovednosti využívat.</w:t>
      </w:r>
    </w:p>
    <w:p>
      <w:pPr>
        <w:pStyle w:val="BodyText"/>
        <w:rPr/>
      </w:pPr>
      <w:r>
        <w:rPr>
          <w:b/>
          <w:bCs/>
        </w:rPr>
        <w:t>2 – chvalitebný</w:t>
      </w:r>
    </w:p>
    <w:p>
      <w:pPr>
        <w:pStyle w:val="BodyText"/>
        <w:rPr/>
      </w:pPr>
      <w:r>
        <w:rPr/>
        <w:t>Žák dosahuje požadovaných výsledků s drobnými nedostatky a většinu úkolů zvládá samostatně.</w:t>
      </w:r>
    </w:p>
    <w:p>
      <w:pPr>
        <w:pStyle w:val="BodyText"/>
        <w:rPr/>
      </w:pPr>
      <w:r>
        <w:rPr>
          <w:b/>
          <w:bCs/>
        </w:rPr>
        <w:t>3 – dobrý</w:t>
      </w:r>
    </w:p>
    <w:p>
      <w:pPr>
        <w:pStyle w:val="BodyText"/>
        <w:rPr/>
      </w:pPr>
      <w:r>
        <w:rPr/>
        <w:t>Žák dosahuje požadovaných výsledků na základní úrovni, avšak potřebuje podporu a dopomoc při náročnějších úkolech.</w:t>
      </w:r>
    </w:p>
    <w:p>
      <w:pPr>
        <w:pStyle w:val="BodyText"/>
        <w:rPr/>
      </w:pPr>
      <w:r>
        <w:rPr>
          <w:b/>
          <w:bCs/>
        </w:rPr>
        <w:t>4 – dostatečný</w:t>
      </w:r>
    </w:p>
    <w:p>
      <w:pPr>
        <w:pStyle w:val="BodyText"/>
        <w:rPr/>
      </w:pPr>
      <w:r>
        <w:rPr/>
        <w:t>Žák dosahuje pouze základní úrovně požadovaných výsledků a potřebuje výraznou podporu.</w:t>
      </w:r>
    </w:p>
    <w:p>
      <w:pPr>
        <w:pStyle w:val="BodyText"/>
        <w:rPr/>
      </w:pPr>
      <w:r>
        <w:rPr>
          <w:b/>
          <w:bCs/>
        </w:rPr>
        <w:t>5 – nedostatečný</w:t>
      </w:r>
    </w:p>
    <w:p>
      <w:pPr>
        <w:pStyle w:val="BodyText"/>
        <w:rPr/>
      </w:pPr>
      <w:r>
        <w:rPr/>
        <w:t>Žák požadovaných výsledků nedosahuje a není schopen zvládnout základní požadavky ani při přiměřené podpoře.</w:t>
      </w:r>
    </w:p>
    <w:p>
      <w:pPr>
        <w:pStyle w:val="Normal"/>
        <w:rPr/>
      </w:pPr>
      <w:r>
        <w:rPr/>
        <mc:AlternateContent>
          <mc:Choice Requires="wps">
            <w:drawing>
              <wp:inline distT="0" distB="0" distL="0" distR="0">
                <wp:extent cx="5943600" cy="19050"/>
                <wp:effectExtent l="0" t="0" r="0" b="0"/>
                <wp:docPr id="22" name="Tvar22"/>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48"/>
    </w:p>
    <w:p>
      <w:pPr>
        <w:pStyle w:val="Heading2"/>
        <w:rPr/>
      </w:pPr>
      <w:bookmarkStart w:id="49" w:name="stupně-hodnocení-chování-1"/>
      <w:r>
        <w:rPr/>
        <w:t>12.2 Stupně hodnocení chování</w:t>
      </w:r>
    </w:p>
    <w:p>
      <w:pPr>
        <w:pStyle w:val="FirstParagraph"/>
        <w:rPr/>
      </w:pPr>
      <w:r>
        <w:rPr>
          <w:b/>
          <w:bCs/>
        </w:rPr>
        <w:t>1 – velmi dobré</w:t>
      </w:r>
    </w:p>
    <w:p>
      <w:pPr>
        <w:pStyle w:val="BodyText"/>
        <w:rPr/>
      </w:pPr>
      <w:r>
        <w:rPr/>
        <w:t>Žák dodržuje pravidla stanovená školním řádem.</w:t>
      </w:r>
    </w:p>
    <w:p>
      <w:pPr>
        <w:pStyle w:val="BodyText"/>
        <w:rPr/>
      </w:pPr>
      <w:r>
        <w:rPr>
          <w:b/>
          <w:bCs/>
        </w:rPr>
        <w:t>2 – uspokojivé</w:t>
      </w:r>
    </w:p>
    <w:p>
      <w:pPr>
        <w:pStyle w:val="BodyText"/>
        <w:rPr/>
      </w:pPr>
      <w:r>
        <w:rPr/>
        <w:t>Žák opakovaně nebo závažně porušuje pravidla stanovená školním řádem.</w:t>
      </w:r>
    </w:p>
    <w:p>
      <w:pPr>
        <w:pStyle w:val="BodyText"/>
        <w:rPr/>
      </w:pPr>
      <w:r>
        <w:rPr>
          <w:b/>
          <w:bCs/>
        </w:rPr>
        <w:t>3 – neuspokojivé</w:t>
      </w:r>
    </w:p>
    <w:p>
      <w:pPr>
        <w:pStyle w:val="BodyText"/>
        <w:rPr/>
      </w:pPr>
      <w:r>
        <w:rPr/>
        <w:t>Žák závažným nebo opakovaným způsobem porušuje pravidla školního řádu a jeho chování zásadně narušuje bezpečné a řádné fungování školy.</w:t>
      </w:r>
    </w:p>
    <w:p>
      <w:pPr>
        <w:pStyle w:val="Normal"/>
        <w:rPr/>
      </w:pPr>
      <w:r>
        <w:rPr/>
        <mc:AlternateContent>
          <mc:Choice Requires="wps">
            <w:drawing>
              <wp:inline distT="0" distB="0" distL="0" distR="0">
                <wp:extent cx="5943600" cy="19050"/>
                <wp:effectExtent l="0" t="0" r="0" b="0"/>
                <wp:docPr id="23" name="Tvar23"/>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49"/>
    </w:p>
    <w:p>
      <w:pPr>
        <w:pStyle w:val="Heading2"/>
        <w:rPr/>
      </w:pPr>
      <w:bookmarkStart w:id="50" w:name="celkové-hodnocení-žáka"/>
      <w:r>
        <w:rPr/>
        <w:t>12.3 Celkové hodnocení žáka</w:t>
      </w:r>
    </w:p>
    <w:p>
      <w:pPr>
        <w:pStyle w:val="FirstParagraph"/>
        <w:rPr/>
      </w:pPr>
      <w:r>
        <w:rPr/>
        <w:t>Celkové hodnocení žáka na vysvědčení se vyjadřuje stupni:</w:t>
      </w:r>
    </w:p>
    <w:p>
      <w:pPr>
        <w:pStyle w:val="BodyText"/>
        <w:rPr/>
      </w:pPr>
      <w:r>
        <w:rPr>
          <w:b/>
          <w:bCs/>
        </w:rPr>
        <w:t>Prospěl(a) s vyznamenáním</w:t>
      </w:r>
    </w:p>
    <w:p>
      <w:pPr>
        <w:pStyle w:val="BodyText"/>
        <w:rPr/>
      </w:pPr>
      <w:r>
        <w:rPr/>
        <w:t>Žák není v žádném z povinných předmětů hodnocen horším stupněm než 2, průměr klasifikace z povinných předmětů není vyšší než 1,5 a jeho chování je hodnoceno stupněm velmi dobré.</w:t>
      </w:r>
    </w:p>
    <w:p>
      <w:pPr>
        <w:pStyle w:val="BodyText"/>
        <w:rPr/>
      </w:pPr>
      <w:r>
        <w:rPr>
          <w:b/>
          <w:bCs/>
        </w:rPr>
        <w:t>Prospěl(a)</w:t>
      </w:r>
    </w:p>
    <w:p>
      <w:pPr>
        <w:pStyle w:val="BodyText"/>
        <w:rPr/>
      </w:pPr>
      <w:r>
        <w:rPr/>
        <w:t>Žák není v žádném z povinných předmětů hodnocen stupněm 5.</w:t>
      </w:r>
    </w:p>
    <w:p>
      <w:pPr>
        <w:pStyle w:val="BodyText"/>
        <w:rPr/>
      </w:pPr>
      <w:r>
        <w:rPr>
          <w:b/>
          <w:bCs/>
        </w:rPr>
        <w:t>Neprospěl(a)</w:t>
      </w:r>
    </w:p>
    <w:p>
      <w:pPr>
        <w:pStyle w:val="BodyText"/>
        <w:rPr/>
      </w:pPr>
      <w:r>
        <w:rPr/>
        <w:t>Žák je v některém z povinných předmětů hodnocen stupněm 5.</w:t>
      </w:r>
    </w:p>
    <w:p>
      <w:pPr>
        <w:pStyle w:val="BodyText"/>
        <w:rPr/>
      </w:pPr>
      <w:r>
        <w:rPr>
          <w:b/>
          <w:bCs/>
        </w:rPr>
        <w:t>Nehodnocen(a)</w:t>
      </w:r>
    </w:p>
    <w:p>
      <w:pPr>
        <w:pStyle w:val="BodyText"/>
        <w:rPr/>
      </w:pPr>
      <w:r>
        <w:rPr/>
        <w:t>Žáka není možné na konci příslušného pololetí z některého povinného předmětu hodnotit.</w:t>
      </w:r>
    </w:p>
    <w:p>
      <w:pPr>
        <w:pStyle w:val="Normal"/>
        <w:rPr/>
      </w:pPr>
      <w:r>
        <w:rPr/>
        <mc:AlternateContent>
          <mc:Choice Requires="wps">
            <w:drawing>
              <wp:inline distT="0" distB="0" distL="0" distR="0">
                <wp:extent cx="5943600" cy="19050"/>
                <wp:effectExtent l="0" t="0" r="0" b="0"/>
                <wp:docPr id="24" name="Tvar24"/>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47"/>
      <w:bookmarkEnd w:id="50"/>
    </w:p>
    <w:p>
      <w:pPr>
        <w:pStyle w:val="Heading1"/>
        <w:rPr/>
      </w:pPr>
      <w:bookmarkStart w:id="51" w:name="postup-žáka-do-vyššího-ročníku"/>
      <w:r>
        <w:rPr/>
        <w:t>13. Postup žáka do vyššího ročníku</w:t>
      </w:r>
    </w:p>
    <w:p>
      <w:pPr>
        <w:pStyle w:val="Normal"/>
        <w:numPr>
          <w:ilvl w:val="0"/>
          <w:numId w:val="95"/>
        </w:numPr>
        <w:rPr/>
      </w:pPr>
      <w:r>
        <w:rPr/>
        <w:t>Do vyššího ročníku postoupí žák v souladu s § 52 školského zákona.</w:t>
      </w:r>
    </w:p>
    <w:p>
      <w:pPr>
        <w:pStyle w:val="Normal"/>
        <w:numPr>
          <w:ilvl w:val="0"/>
          <w:numId w:val="96"/>
        </w:numPr>
        <w:rPr/>
      </w:pPr>
      <w:r>
        <w:rPr/>
        <w:t>Nelze-li žáka hodnotit na konci prvního pololetí, stanoví ředitel školy náhradní termín tak, aby hodnocení bylo provedeno nejpozději do dvou měsíců po skončení prvního pololetí.</w:t>
      </w:r>
    </w:p>
    <w:p>
      <w:pPr>
        <w:pStyle w:val="Normal"/>
        <w:numPr>
          <w:ilvl w:val="0"/>
          <w:numId w:val="97"/>
        </w:numPr>
        <w:rPr/>
      </w:pPr>
      <w:r>
        <w:rPr/>
        <w:t>Nelze-li žáka hodnotit ani v náhradním termínu, žák se za první pololetí nehodnotí.</w:t>
      </w:r>
    </w:p>
    <w:p>
      <w:pPr>
        <w:pStyle w:val="Normal"/>
        <w:numPr>
          <w:ilvl w:val="0"/>
          <w:numId w:val="98"/>
        </w:numPr>
        <w:rPr/>
      </w:pPr>
      <w:r>
        <w:rPr/>
        <w:t>Nelze-li žáka hodnotit na konci druhého pololetí, stanoví ředitel školy náhradní termín tak, aby hodnocení bylo provedeno nejpozději do konce září následujícího školního roku.</w:t>
      </w:r>
    </w:p>
    <w:p>
      <w:pPr>
        <w:pStyle w:val="Normal"/>
        <w:numPr>
          <w:ilvl w:val="0"/>
          <w:numId w:val="99"/>
        </w:numPr>
        <w:rPr/>
      </w:pPr>
      <w:r>
        <w:rPr/>
        <w:t>V období do hodnocení žák navštěvuje nejbližší vyšší ročník, popřípadě znovu devátý ročník.</w:t>
      </w:r>
    </w:p>
    <w:p>
      <w:pPr>
        <w:pStyle w:val="Normal"/>
        <w:numPr>
          <w:ilvl w:val="0"/>
          <w:numId w:val="100"/>
        </w:numPr>
        <w:rPr/>
      </w:pPr>
      <w:r>
        <w:rPr/>
        <w:t>Podmínky opakování ročníku se řídí § 52 školského zákona.</w:t>
      </w:r>
    </w:p>
    <w:p>
      <w:pPr>
        <w:pStyle w:val="Normal"/>
        <w:rPr/>
      </w:pPr>
      <w:r>
        <w:rPr/>
        <mc:AlternateContent>
          <mc:Choice Requires="wps">
            <w:drawing>
              <wp:inline distT="0" distB="0" distL="0" distR="0">
                <wp:extent cx="5943600" cy="19050"/>
                <wp:effectExtent l="0" t="0" r="0" b="0"/>
                <wp:docPr id="25" name="Tvar25"/>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51"/>
    </w:p>
    <w:p>
      <w:pPr>
        <w:pStyle w:val="Heading1"/>
        <w:rPr/>
      </w:pPr>
      <w:bookmarkStart w:id="52" w:name="opravné-zkoušky"/>
      <w:r>
        <w:rPr/>
        <w:t>14. Opravné zkoušky</w:t>
      </w:r>
    </w:p>
    <w:p>
      <w:pPr>
        <w:pStyle w:val="Normal"/>
        <w:numPr>
          <w:ilvl w:val="0"/>
          <w:numId w:val="101"/>
        </w:numPr>
        <w:rPr/>
      </w:pPr>
      <w:r>
        <w:rPr/>
        <w:t>Opravné zkoušky se konají v případech stanovených § 53 školského zákona.</w:t>
      </w:r>
    </w:p>
    <w:p>
      <w:pPr>
        <w:pStyle w:val="Normal"/>
        <w:numPr>
          <w:ilvl w:val="0"/>
          <w:numId w:val="102"/>
        </w:numPr>
        <w:rPr/>
      </w:pPr>
      <w:r>
        <w:rPr/>
        <w:t>Opravné zkoušky konají:</w:t>
      </w:r>
    </w:p>
    <w:p>
      <w:pPr>
        <w:pStyle w:val="Compact"/>
        <w:numPr>
          <w:ilvl w:val="1"/>
          <w:numId w:val="2"/>
        </w:numPr>
        <w:rPr/>
      </w:pPr>
      <w:r>
        <w:rPr/>
        <w:t>žáci devátých ročníků,</w:t>
      </w:r>
    </w:p>
    <w:p>
      <w:pPr>
        <w:pStyle w:val="Compact"/>
        <w:numPr>
          <w:ilvl w:val="1"/>
          <w:numId w:val="2"/>
        </w:numPr>
        <w:rPr/>
      </w:pPr>
      <w:r>
        <w:rPr/>
        <w:t>žáci, kteří na daném stupni základní školy dosud neopakovali ročník,</w:t>
      </w:r>
    </w:p>
    <w:p>
      <w:pPr>
        <w:pStyle w:val="FirstParagraph"/>
        <w:rPr/>
      </w:pPr>
      <w:r>
        <w:rPr/>
        <w:t>pokud na konci druhého pololetí neprospěli nejvýše ze dvou povinných předmětů s výjimkou předmětů výchovného zaměření.</w:t>
      </w:r>
    </w:p>
    <w:p>
      <w:pPr>
        <w:pStyle w:val="Normal"/>
        <w:numPr>
          <w:ilvl w:val="0"/>
          <w:numId w:val="103"/>
        </w:numPr>
        <w:rPr/>
      </w:pPr>
      <w:r>
        <w:rPr/>
        <w:t>Opravná zkouška se koná nejpozději do konce příslušného školního roku v termínu stanoveném ředitelem školy.</w:t>
      </w:r>
    </w:p>
    <w:p>
      <w:pPr>
        <w:pStyle w:val="Normal"/>
        <w:numPr>
          <w:ilvl w:val="0"/>
          <w:numId w:val="21"/>
        </w:numPr>
        <w:rPr/>
      </w:pPr>
      <w:r>
        <w:rPr/>
        <w:t>Žák může v jednom dni skládat pouze jednu opravnou zkoušku.</w:t>
      </w:r>
    </w:p>
    <w:p>
      <w:pPr>
        <w:pStyle w:val="Normal"/>
        <w:numPr>
          <w:ilvl w:val="0"/>
          <w:numId w:val="21"/>
        </w:numPr>
        <w:rPr/>
      </w:pPr>
      <w:r>
        <w:rPr/>
        <w:t>Opravná zkouška je komisionální.</w:t>
      </w:r>
    </w:p>
    <w:p>
      <w:pPr>
        <w:pStyle w:val="Normal"/>
        <w:numPr>
          <w:ilvl w:val="0"/>
          <w:numId w:val="21"/>
        </w:numPr>
        <w:rPr/>
      </w:pPr>
      <w:r>
        <w:rPr/>
        <w:t>Žák, který opravnou zkoušku nevykoná úspěšně nebo se k jejímu konání nedostaví, neprospěl.</w:t>
      </w:r>
    </w:p>
    <w:p>
      <w:pPr>
        <w:pStyle w:val="Normal"/>
        <w:numPr>
          <w:ilvl w:val="0"/>
          <w:numId w:val="21"/>
        </w:numPr>
        <w:rPr/>
      </w:pPr>
      <w:r>
        <w:rPr/>
        <w:t>Ze závažných důvodů může ředitel školy stanovit náhradní termín opravné zkoušky nejpozději do 15. září následujícího školního roku.</w:t>
      </w:r>
    </w:p>
    <w:p>
      <w:pPr>
        <w:pStyle w:val="Normal"/>
        <w:numPr>
          <w:ilvl w:val="0"/>
          <w:numId w:val="21"/>
        </w:numPr>
        <w:rPr/>
      </w:pPr>
      <w:r>
        <w:rPr/>
        <w:t>Do doby konání náhradní opravné zkoušky je žák zařazen do nejbližšího vyššího ročníku, popřípadě znovu do devátého ročníku.</w:t>
      </w:r>
    </w:p>
    <w:p>
      <w:pPr>
        <w:pStyle w:val="Normal"/>
        <w:rPr/>
      </w:pPr>
      <w:r>
        <w:rPr/>
        <mc:AlternateContent>
          <mc:Choice Requires="wps">
            <w:drawing>
              <wp:inline distT="0" distB="0" distL="0" distR="0">
                <wp:extent cx="5943600" cy="19050"/>
                <wp:effectExtent l="0" t="0" r="0" b="0"/>
                <wp:docPr id="26" name="Tvar26"/>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52"/>
    </w:p>
    <w:p>
      <w:pPr>
        <w:pStyle w:val="Heading1"/>
        <w:rPr/>
      </w:pPr>
      <w:bookmarkStart w:id="53" w:name="přezkoumání-výsledků-hodnocení"/>
      <w:r>
        <w:rPr/>
        <w:t>15. Přezkoumání výsledků hodnocení</w:t>
      </w:r>
    </w:p>
    <w:p>
      <w:pPr>
        <w:pStyle w:val="Normal"/>
        <w:numPr>
          <w:ilvl w:val="0"/>
          <w:numId w:val="104"/>
        </w:numPr>
        <w:rPr/>
      </w:pPr>
      <w:r>
        <w:rPr/>
        <w:t>Má-li zákonný zástupce žáka pochybnosti o správnosti hodnocení žáka na konci prvního nebo druhého pololetí, může požádat o přezkoumání výsledků hodnocení v souladu s § 52 odst. 4 a 5 školského zákona.</w:t>
      </w:r>
    </w:p>
    <w:p>
      <w:pPr>
        <w:pStyle w:val="Normal"/>
        <w:numPr>
          <w:ilvl w:val="0"/>
          <w:numId w:val="105"/>
        </w:numPr>
        <w:rPr/>
      </w:pPr>
      <w:r>
        <w:rPr/>
        <w:t>Žádost se podává do 3 pracovních dnů ode dne, kdy se zákonný zástupce o hodnocení prokazatelně dozvěděl, nejpozději však do 3 pracovních dnů ode dne vydání vysvědčení.</w:t>
      </w:r>
    </w:p>
    <w:p>
      <w:pPr>
        <w:pStyle w:val="Normal"/>
        <w:numPr>
          <w:ilvl w:val="0"/>
          <w:numId w:val="106"/>
        </w:numPr>
        <w:rPr/>
      </w:pPr>
      <w:r>
        <w:rPr/>
        <w:t>Žádost se podává řediteli školy. Je-li vyučujícím žáka v daném předmětu ředitel školy, podává se žádost krajskému úřadu.</w:t>
      </w:r>
    </w:p>
    <w:p>
      <w:pPr>
        <w:pStyle w:val="Normal"/>
        <w:numPr>
          <w:ilvl w:val="0"/>
          <w:numId w:val="107"/>
        </w:numPr>
        <w:rPr/>
      </w:pPr>
      <w:r>
        <w:rPr/>
        <w:t>Pokud není stanoveno jinak, ředitel školy nebo krajský úřad nařídí komisionální přezkoušení žáka.</w:t>
      </w:r>
    </w:p>
    <w:p>
      <w:pPr>
        <w:pStyle w:val="Normal"/>
        <w:numPr>
          <w:ilvl w:val="0"/>
          <w:numId w:val="108"/>
        </w:numPr>
        <w:rPr/>
      </w:pPr>
      <w:r>
        <w:rPr/>
        <w:t>Komisionální přezkoušení se koná nejpozději do 14 dnů od doručení žádosti nebo v termínu dohodnutém se zákonným zástupcem žáka.</w:t>
      </w:r>
    </w:p>
    <w:p>
      <w:pPr>
        <w:pStyle w:val="Normal"/>
        <w:numPr>
          <w:ilvl w:val="0"/>
          <w:numId w:val="109"/>
        </w:numPr>
        <w:rPr/>
      </w:pPr>
      <w:r>
        <w:rPr/>
        <w:t>Pokud se žádost týká hodnocení chování nebo předmětu výchovného zaměření, posuzuje se dodržení pravidel pro hodnocení výsledků vzdělávání stanovených školním řádem.</w:t>
      </w:r>
    </w:p>
    <w:p>
      <w:pPr>
        <w:pStyle w:val="Normal"/>
        <w:numPr>
          <w:ilvl w:val="0"/>
          <w:numId w:val="110"/>
        </w:numPr>
        <w:rPr/>
      </w:pPr>
      <w:r>
        <w:rPr/>
        <w:t>V případě zjištění porušení pravidel pro hodnocení se výsledek hodnocení změní. Nebyla-li pravidla porušena, výsledek hodnocení se potvrdí.</w:t>
      </w:r>
    </w:p>
    <w:p>
      <w:pPr>
        <w:pStyle w:val="Normal"/>
        <w:rPr/>
      </w:pPr>
      <w:r>
        <w:rPr/>
        <mc:AlternateContent>
          <mc:Choice Requires="wps">
            <w:drawing>
              <wp:inline distT="0" distB="0" distL="0" distR="0">
                <wp:extent cx="5943600" cy="19050"/>
                <wp:effectExtent l="0" t="0" r="0" b="0"/>
                <wp:docPr id="27" name="Tvar27"/>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53"/>
    </w:p>
    <w:p>
      <w:pPr>
        <w:pStyle w:val="Heading1"/>
        <w:rPr/>
      </w:pPr>
      <w:bookmarkStart w:id="54" w:name="komisionální-zkouška"/>
      <w:r>
        <w:rPr/>
        <w:t>16. Komisionální zkouška</w:t>
      </w:r>
    </w:p>
    <w:p>
      <w:pPr>
        <w:pStyle w:val="Normal"/>
        <w:numPr>
          <w:ilvl w:val="0"/>
          <w:numId w:val="111"/>
        </w:numPr>
        <w:rPr/>
      </w:pPr>
      <w:r>
        <w:rPr/>
        <w:t>Komisi jmenuje ředitel školy, případně příslušný orgán v případech stanovených právními předpisy.</w:t>
      </w:r>
    </w:p>
    <w:p>
      <w:pPr>
        <w:pStyle w:val="Normal"/>
        <w:numPr>
          <w:ilvl w:val="0"/>
          <w:numId w:val="112"/>
        </w:numPr>
        <w:rPr/>
      </w:pPr>
      <w:r>
        <w:rPr/>
        <w:t>Komise je zpravidla tříčlenná.</w:t>
      </w:r>
    </w:p>
    <w:p>
      <w:pPr>
        <w:pStyle w:val="Normal"/>
        <w:numPr>
          <w:ilvl w:val="0"/>
          <w:numId w:val="113"/>
        </w:numPr>
        <w:rPr/>
      </w:pPr>
      <w:r>
        <w:rPr/>
        <w:t>Jejími členy jsou:</w:t>
      </w:r>
    </w:p>
    <w:p>
      <w:pPr>
        <w:pStyle w:val="Compact"/>
        <w:numPr>
          <w:ilvl w:val="1"/>
          <w:numId w:val="2"/>
        </w:numPr>
        <w:rPr/>
      </w:pPr>
      <w:r>
        <w:rPr/>
        <w:t>předseda,</w:t>
      </w:r>
    </w:p>
    <w:p>
      <w:pPr>
        <w:pStyle w:val="Compact"/>
        <w:numPr>
          <w:ilvl w:val="1"/>
          <w:numId w:val="2"/>
        </w:numPr>
        <w:rPr/>
      </w:pPr>
      <w:r>
        <w:rPr/>
        <w:t>zkoušející učitel,</w:t>
      </w:r>
    </w:p>
    <w:p>
      <w:pPr>
        <w:pStyle w:val="Compact"/>
        <w:numPr>
          <w:ilvl w:val="1"/>
          <w:numId w:val="2"/>
        </w:numPr>
        <w:rPr/>
      </w:pPr>
      <w:r>
        <w:rPr/>
        <w:t>přísedící.</w:t>
      </w:r>
    </w:p>
    <w:p>
      <w:pPr>
        <w:pStyle w:val="Normal"/>
        <w:numPr>
          <w:ilvl w:val="0"/>
          <w:numId w:val="114"/>
        </w:numPr>
        <w:rPr/>
      </w:pPr>
      <w:r>
        <w:rPr/>
        <w:t>Předsedou je zpravidla ředitel školy nebo jím pověřený pedagogický pracovník.</w:t>
      </w:r>
    </w:p>
    <w:p>
      <w:pPr>
        <w:pStyle w:val="Normal"/>
        <w:numPr>
          <w:ilvl w:val="0"/>
          <w:numId w:val="115"/>
        </w:numPr>
        <w:rPr/>
      </w:pPr>
      <w:r>
        <w:rPr/>
        <w:t>Zkoušejícím je zpravidla učitel daného předmětu.</w:t>
      </w:r>
    </w:p>
    <w:p>
      <w:pPr>
        <w:pStyle w:val="Normal"/>
        <w:numPr>
          <w:ilvl w:val="0"/>
          <w:numId w:val="116"/>
        </w:numPr>
        <w:rPr/>
      </w:pPr>
      <w:r>
        <w:rPr/>
        <w:t>Přísedícím je jiný pedagogický pracovník splňující podmínky stanovené právními předpisy.</w:t>
      </w:r>
    </w:p>
    <w:p>
      <w:pPr>
        <w:pStyle w:val="Normal"/>
        <w:numPr>
          <w:ilvl w:val="0"/>
          <w:numId w:val="117"/>
        </w:numPr>
        <w:rPr/>
      </w:pPr>
      <w:r>
        <w:rPr/>
        <w:t>Výsledek komisionální zkoušky stanoví komise hlasováním a vyjádří jej klasifikačním stupněm.</w:t>
      </w:r>
    </w:p>
    <w:p>
      <w:pPr>
        <w:pStyle w:val="Normal"/>
        <w:numPr>
          <w:ilvl w:val="0"/>
          <w:numId w:val="118"/>
        </w:numPr>
        <w:rPr/>
      </w:pPr>
      <w:r>
        <w:rPr/>
        <w:t>O průběhu a výsledku zkoušky se pořizuje záznam.</w:t>
      </w:r>
    </w:p>
    <w:p>
      <w:pPr>
        <w:pStyle w:val="Normal"/>
        <w:numPr>
          <w:ilvl w:val="0"/>
          <w:numId w:val="119"/>
        </w:numPr>
        <w:rPr/>
      </w:pPr>
      <w:r>
        <w:rPr/>
        <w:t>Ředitel školy sdělí výsledek žákovi a jeho zákonnému zástupci prokazatelným způsobem.</w:t>
      </w:r>
    </w:p>
    <w:p>
      <w:pPr>
        <w:pStyle w:val="Normal"/>
        <w:numPr>
          <w:ilvl w:val="0"/>
          <w:numId w:val="120"/>
        </w:numPr>
        <w:rPr/>
      </w:pPr>
      <w:r>
        <w:rPr/>
        <w:t>V případě změny hodnocení na konci pololetí se vydá žákovi nové vysvědčení.</w:t>
      </w:r>
    </w:p>
    <w:p>
      <w:pPr>
        <w:pStyle w:val="Normal"/>
        <w:rPr/>
      </w:pPr>
      <w:r>
        <w:rPr/>
        <mc:AlternateContent>
          <mc:Choice Requires="wps">
            <w:drawing>
              <wp:inline distT="0" distB="0" distL="0" distR="0">
                <wp:extent cx="5943600" cy="19050"/>
                <wp:effectExtent l="0" t="0" r="0" b="0"/>
                <wp:docPr id="28" name="Tvar28"/>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54"/>
    </w:p>
    <w:p>
      <w:pPr>
        <w:pStyle w:val="Heading1"/>
        <w:rPr/>
      </w:pPr>
      <w:bookmarkStart w:id="55" w:name="hodnocení-individuálně-vzdělávaného-žáka"/>
      <w:r>
        <w:rPr/>
        <w:t>17. Hodnocení individuálně vzdělávaného žáka</w:t>
      </w:r>
    </w:p>
    <w:p>
      <w:pPr>
        <w:pStyle w:val="Normal"/>
        <w:numPr>
          <w:ilvl w:val="0"/>
          <w:numId w:val="121"/>
        </w:numPr>
        <w:rPr/>
      </w:pPr>
      <w:r>
        <w:rPr/>
        <w:t>Individuálně vzdělávaný žák koná za každé pololetí zkoušky z příslušného učiva ve škole, do níž byl přijat k plnění povinné školní docházky.</w:t>
      </w:r>
    </w:p>
    <w:p>
      <w:pPr>
        <w:pStyle w:val="Normal"/>
        <w:numPr>
          <w:ilvl w:val="0"/>
          <w:numId w:val="122"/>
        </w:numPr>
        <w:rPr/>
      </w:pPr>
      <w:r>
        <w:rPr/>
        <w:t>Obsah, rozsah a způsob ověření odpovídá vzdělávacímu obsahu příslušného ročníku a školnímu vzdělávacímu programu.</w:t>
      </w:r>
    </w:p>
    <w:p>
      <w:pPr>
        <w:pStyle w:val="Normal"/>
        <w:numPr>
          <w:ilvl w:val="0"/>
          <w:numId w:val="123"/>
        </w:numPr>
        <w:rPr/>
      </w:pPr>
      <w:r>
        <w:rPr/>
        <w:t>Nelze-li individuálně vzdělávaného žáka hodnotit na konci příslušného pololetí, stanoví ředitel školy náhradní termín v souladu s § 41 školského zákona.</w:t>
      </w:r>
    </w:p>
    <w:p>
      <w:pPr>
        <w:pStyle w:val="Normal"/>
        <w:numPr>
          <w:ilvl w:val="0"/>
          <w:numId w:val="124"/>
        </w:numPr>
        <w:rPr/>
      </w:pPr>
      <w:r>
        <w:rPr/>
        <w:t>Hodnocení individuálně vzdělávaného žáka je vedeno průkazným způsobem.</w:t>
      </w:r>
    </w:p>
    <w:p>
      <w:pPr>
        <w:pStyle w:val="Normal"/>
        <w:numPr>
          <w:ilvl w:val="0"/>
          <w:numId w:val="125"/>
        </w:numPr>
        <w:rPr/>
      </w:pPr>
      <w:r>
        <w:rPr/>
        <w:t>Pokud zákonný zástupce zpochybní správnost hodnocení individuálně vzdělávaného žáka, postupuje se podle § 41 školského zákona.</w:t>
      </w:r>
    </w:p>
    <w:p>
      <w:pPr>
        <w:pStyle w:val="Normal"/>
        <w:rPr/>
      </w:pPr>
      <w:r>
        <w:rPr/>
        <mc:AlternateContent>
          <mc:Choice Requires="wps">
            <w:drawing>
              <wp:inline distT="0" distB="0" distL="0" distR="0">
                <wp:extent cx="5943600" cy="19050"/>
                <wp:effectExtent l="0" t="0" r="0" b="0"/>
                <wp:docPr id="29" name="Tvar29"/>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55"/>
    </w:p>
    <w:p>
      <w:pPr>
        <w:pStyle w:val="Heading1"/>
        <w:rPr/>
      </w:pPr>
      <w:bookmarkStart w:id="56" w:name="hodnocení-žáků-při-změně-školy"/>
      <w:r>
        <w:rPr/>
        <w:t>18. Hodnocení žáků při změně školy</w:t>
      </w:r>
    </w:p>
    <w:p>
      <w:pPr>
        <w:pStyle w:val="Normal"/>
        <w:numPr>
          <w:ilvl w:val="0"/>
          <w:numId w:val="126"/>
        </w:numPr>
        <w:rPr/>
      </w:pPr>
      <w:r>
        <w:rPr/>
        <w:t>Při přestupu žáka do jiné školy poskytuje škola potřebné informace o průběhu a výsledcích vzdělávání v souladu s právními předpisy.</w:t>
      </w:r>
    </w:p>
    <w:p>
      <w:pPr>
        <w:pStyle w:val="Normal"/>
        <w:numPr>
          <w:ilvl w:val="0"/>
          <w:numId w:val="127"/>
        </w:numPr>
        <w:rPr/>
      </w:pPr>
      <w:r>
        <w:rPr/>
        <w:t>Při přestupu žáka na školu, která používá jiný způsob hodnocení, postupuje škola podle § 51 školského zákona.</w:t>
      </w:r>
    </w:p>
    <w:p>
      <w:pPr>
        <w:pStyle w:val="Normal"/>
        <w:numPr>
          <w:ilvl w:val="0"/>
          <w:numId w:val="128"/>
        </w:numPr>
        <w:rPr/>
      </w:pPr>
      <w:r>
        <w:rPr/>
        <w:t>Na žádost zákonného zástupce škola převede slovní hodnocení do klasifikace pro účely přijímacího řízení ke střednímu vzdělávání.</w:t>
      </w:r>
    </w:p>
    <w:p>
      <w:pPr>
        <w:pStyle w:val="Normal"/>
        <w:rPr/>
      </w:pPr>
      <w:r>
        <w:rPr/>
        <mc:AlternateContent>
          <mc:Choice Requires="wps">
            <w:drawing>
              <wp:inline distT="0" distB="0" distL="0" distR="0">
                <wp:extent cx="5943600" cy="19050"/>
                <wp:effectExtent l="0" t="0" r="0" b="0"/>
                <wp:docPr id="30" name="Tvar30"/>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bookmarkEnd w:id="56"/>
    </w:p>
    <w:p>
      <w:pPr>
        <w:pStyle w:val="Heading1"/>
        <w:rPr/>
      </w:pPr>
      <w:bookmarkStart w:id="57" w:name="závěrečná-ustanovení"/>
      <w:r>
        <w:rPr/>
        <w:t>19. Závěrečná ustanovení</w:t>
      </w:r>
    </w:p>
    <w:p>
      <w:pPr>
        <w:pStyle w:val="Normal"/>
        <w:numPr>
          <w:ilvl w:val="0"/>
          <w:numId w:val="129"/>
        </w:numPr>
        <w:rPr/>
      </w:pPr>
      <w:r>
        <w:rPr/>
        <w:t>Tato pravidla pro hodnocení výsledků vzdělávání žáků jsou součástí školního řádu Základní školy a Mateřské školy Nemojany.</w:t>
      </w:r>
    </w:p>
    <w:p>
      <w:pPr>
        <w:pStyle w:val="Normal"/>
        <w:numPr>
          <w:ilvl w:val="0"/>
          <w:numId w:val="130"/>
        </w:numPr>
        <w:rPr/>
      </w:pPr>
      <w:r>
        <w:rPr/>
        <w:t>Všichni pedagogičtí pracovníci jsou povinni se s těmito pravidly seznámit a při hodnocení žáků podle nich postupovat.</w:t>
      </w:r>
    </w:p>
    <w:p>
      <w:pPr>
        <w:pStyle w:val="Normal"/>
        <w:numPr>
          <w:ilvl w:val="0"/>
          <w:numId w:val="131"/>
        </w:numPr>
        <w:rPr/>
      </w:pPr>
      <w:r>
        <w:rPr/>
        <w:t>Žáci a jejich zákonní zástupci jsou s pravidly hodnocení prokazatelně seznámeni.</w:t>
      </w:r>
    </w:p>
    <w:p>
      <w:pPr>
        <w:pStyle w:val="Normal"/>
        <w:numPr>
          <w:ilvl w:val="0"/>
          <w:numId w:val="132"/>
        </w:numPr>
        <w:rPr/>
      </w:pPr>
      <w:r>
        <w:rPr/>
        <w:t>Tato pravidla jsou zveřejněna způsobem stanoveným školským zákonem pro zveřejnění školního řádu.</w:t>
      </w:r>
    </w:p>
    <w:p>
      <w:pPr>
        <w:pStyle w:val="Normal"/>
        <w:numPr>
          <w:ilvl w:val="0"/>
          <w:numId w:val="133"/>
        </w:numPr>
        <w:rPr/>
      </w:pPr>
      <w:r>
        <w:rPr/>
        <w:t>Pokud dojde ke změně právních předpisů, která bude mít vliv na obsah těchto pravidel, bude dokument odpovídajícím způsobem aktualizován.</w:t>
      </w:r>
    </w:p>
    <w:p>
      <w:pPr>
        <w:pStyle w:val="Normal"/>
        <w:numPr>
          <w:ilvl w:val="0"/>
          <w:numId w:val="134"/>
        </w:numPr>
        <w:rPr/>
      </w:pPr>
      <w:r>
        <w:rPr/>
        <w:t xml:space="preserve">Tato pravidla nabývají účinnosti dnem </w:t>
      </w:r>
      <w:r>
        <w:rPr>
          <w:b/>
          <w:bCs/>
        </w:rPr>
        <w:t>1. 9. 2026</w:t>
      </w:r>
      <w:r>
        <w:rPr/>
        <w:t>.</w:t>
      </w:r>
    </w:p>
    <w:p>
      <w:pPr>
        <w:pStyle w:val="Normal"/>
        <w:rPr/>
      </w:pPr>
      <w:r>
        <w:rPr/>
        <mc:AlternateContent>
          <mc:Choice Requires="wps">
            <w:drawing>
              <wp:inline distT="0" distB="0" distL="0" distR="0">
                <wp:extent cx="5943600" cy="19050"/>
                <wp:effectExtent l="0" t="0" r="0" b="0"/>
                <wp:docPr id="31" name="Tvar31"/>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p>
    <w:p>
      <w:pPr>
        <w:pStyle w:val="FirstParagraph"/>
        <w:rPr/>
      </w:pPr>
      <w:r>
        <w:rPr>
          <w:b/>
          <w:bCs/>
        </w:rPr>
        <w:t>V Nemojanech dne: __________________________</w:t>
      </w:r>
    </w:p>
    <w:p>
      <w:pPr>
        <w:pStyle w:val="BodyText"/>
        <w:rPr/>
      </w:pPr>
      <w:r>
        <w:rPr>
          <w:b/>
          <w:bCs/>
        </w:rPr>
        <w:t>Schválila:</w:t>
      </w:r>
    </w:p>
    <w:p>
      <w:pPr>
        <w:pStyle w:val="BodyText"/>
        <w:rPr/>
      </w:pPr>
      <w:r>
        <w:rPr>
          <w:b/>
          <w:bCs/>
        </w:rPr>
        <w:t>Zdeňka Vanderková</w:t>
      </w:r>
      <w:r>
        <w:rPr/>
        <w:br/>
        <w:t>ředitelka školy</w:t>
      </w:r>
    </w:p>
    <w:p>
      <w:pPr>
        <w:pStyle w:val="BodyText"/>
        <w:spacing w:before="180" w:after="180"/>
        <w:rPr/>
      </w:pPr>
      <w:r>
        <w:rPr/>
        <w:t>Podpis: __________________________</w:t>
      </w:r>
      <w:bookmarkEnd w:id="57"/>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Aptos Display">
    <w:charset w:val="ee"/>
    <w:family w:val="roman"/>
    <w:pitch w:val="variable"/>
  </w:font>
  <w:font w:name="Segoe UI">
    <w:charset w:val="ee"/>
    <w:family w:val="swiss"/>
    <w:pitch w:val="variable"/>
  </w:font>
  <w:font w:name="Courier">
    <w:altName w:val="Courier New"/>
    <w:charset w:val="ee"/>
    <w:family w:val="roman"/>
    <w:pitch w:val="variable"/>
  </w:font>
  <w:font w:name="Liberation Sans">
    <w:altName w:val="Arial"/>
    <w:charset w:val="ee"/>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612586751"/>
      <w:docPartObj>
        <w:docPartGallery w:val="Page Numbers (Bottom of Page)"/>
        <w:docPartUnique w:val="true"/>
      </w:docPartObj>
    </w:sdtPr>
    <w:sdtContent>
      <w:p>
        <w:pPr>
          <w:pStyle w:val="Footer"/>
          <w:jc w:val="center"/>
          <w:rPr/>
        </w:pPr>
        <w:bookmarkStart w:id="58" w:name="PageNumWizard_FOOTER_Výchozí_styl_stránk"/>
        <w:r>
          <w:rPr/>
          <w:fldChar w:fldCharType="begin"/>
        </w:r>
        <w:r>
          <w:rPr/>
          <w:instrText xml:space="preserve"> PAGE </w:instrText>
        </w:r>
        <w:r>
          <w:rPr/>
          <w:fldChar w:fldCharType="separate"/>
        </w:r>
        <w:r>
          <w:rPr/>
          <w:t>16</w:t>
        </w:r>
        <w:r>
          <w:rPr/>
          <w:fldChar w:fldCharType="end"/>
        </w:r>
        <w:bookmarkEnd w:id="58"/>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612586751"/>
      <w:docPartObj>
        <w:docPartGallery w:val="Page Numbers (Bottom of Page)"/>
        <w:docPartUnique w:val="true"/>
      </w:docPartObj>
    </w:sdtPr>
    <w:sdtContent>
      <w:p>
        <w:pPr>
          <w:pStyle w:val="Footer"/>
          <w:jc w:val="center"/>
          <w:rPr/>
        </w:pPr>
        <w:bookmarkStart w:id="59" w:name="PageNumWizard_FOOTER_Výchozí_styl_stránk"/>
        <w:r>
          <w:rPr/>
          <w:fldChar w:fldCharType="begin"/>
        </w:r>
        <w:r>
          <w:rPr/>
          <w:instrText xml:space="preserve"> PAGE </w:instrText>
        </w:r>
        <w:r>
          <w:rPr/>
          <w:fldChar w:fldCharType="separate"/>
        </w:r>
        <w:r>
          <w:rPr/>
          <w:t>16</w:t>
        </w:r>
        <w:r>
          <w:rPr/>
          <w:fldChar w:fldCharType="end"/>
        </w:r>
        <w:bookmarkEnd w:id="59"/>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114300" distR="114300" simplePos="0" relativeHeight="17" behindDoc="1" locked="0" layoutInCell="0" allowOverlap="1">
          <wp:simplePos x="0" y="0"/>
          <wp:positionH relativeFrom="margin">
            <wp:posOffset>5752465</wp:posOffset>
          </wp:positionH>
          <wp:positionV relativeFrom="margin">
            <wp:posOffset>-686435</wp:posOffset>
          </wp:positionV>
          <wp:extent cx="526415" cy="472440"/>
          <wp:effectExtent l="0" t="0" r="0" b="0"/>
          <wp:wrapSquare wrapText="bothSides"/>
          <wp:docPr id="3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ázek 1"/>
                  <pic:cNvPicPr>
                    <a:picLocks noChangeAspect="1" noChangeArrowheads="1"/>
                  </pic:cNvPicPr>
                </pic:nvPicPr>
                <pic:blipFill>
                  <a:blip r:embed="rId1"/>
                  <a:stretch>
                    <a:fillRect/>
                  </a:stretch>
                </pic:blipFill>
                <pic:spPr bwMode="auto">
                  <a:xfrm>
                    <a:off x="0" y="0"/>
                    <a:ext cx="526415" cy="47244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114300" distR="114300" simplePos="0" relativeHeight="17" behindDoc="1" locked="0" layoutInCell="0" allowOverlap="1">
          <wp:simplePos x="0" y="0"/>
          <wp:positionH relativeFrom="margin">
            <wp:posOffset>5752465</wp:posOffset>
          </wp:positionH>
          <wp:positionV relativeFrom="margin">
            <wp:posOffset>-686435</wp:posOffset>
          </wp:positionV>
          <wp:extent cx="526415" cy="472440"/>
          <wp:effectExtent l="0" t="0" r="0" b="0"/>
          <wp:wrapSquare wrapText="bothSides"/>
          <wp:docPr id="3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brázek 1"/>
                  <pic:cNvPicPr>
                    <a:picLocks noChangeAspect="1" noChangeArrowheads="1"/>
                  </pic:cNvPicPr>
                </pic:nvPicPr>
                <pic:blipFill>
                  <a:blip r:embed="rId1"/>
                  <a:stretch>
                    <a:fillRect/>
                  </a:stretch>
                </pic:blipFill>
                <pic:spPr bwMode="auto">
                  <a:xfrm>
                    <a:off x="0" y="0"/>
                    <a:ext cx="526415" cy="472440"/>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8">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9">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10">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11">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12">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13">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14">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15">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16">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17">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18">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19">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20">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21">
    <w:lvl w:ilvl="0">
      <w:start w:val="3"/>
      <w:numFmt w:val="decimal"/>
      <w:lvlText w:val="%1."/>
      <w:lvlJc w:val="left"/>
      <w:pPr>
        <w:tabs>
          <w:tab w:val="num" w:pos="0"/>
        </w:tabs>
        <w:ind w:left="720" w:hanging="360"/>
      </w:pPr>
      <w:rPr/>
    </w:lvl>
    <w:lvl w:ilvl="1">
      <w:start w:val="3"/>
      <w:numFmt w:val="decimal"/>
      <w:lvlText w:val="%2."/>
      <w:lvlJc w:val="left"/>
      <w:pPr>
        <w:tabs>
          <w:tab w:val="num" w:pos="0"/>
        </w:tabs>
        <w:ind w:left="1440" w:hanging="360"/>
      </w:pPr>
      <w:rPr/>
    </w:lvl>
    <w:lvl w:ilvl="2">
      <w:start w:val="3"/>
      <w:numFmt w:val="decimal"/>
      <w:lvlText w:val="%3."/>
      <w:lvlJc w:val="left"/>
      <w:pPr>
        <w:tabs>
          <w:tab w:val="num" w:pos="0"/>
        </w:tabs>
        <w:ind w:left="2160" w:hanging="360"/>
      </w:pPr>
      <w:rPr/>
    </w:lvl>
    <w:lvl w:ilvl="3">
      <w:start w:val="3"/>
      <w:numFmt w:val="decimal"/>
      <w:lvlText w:val="%4."/>
      <w:lvlJc w:val="left"/>
      <w:pPr>
        <w:tabs>
          <w:tab w:val="num" w:pos="0"/>
        </w:tabs>
        <w:ind w:left="2880" w:hanging="360"/>
      </w:pPr>
      <w:rPr/>
    </w:lvl>
    <w:lvl w:ilvl="4">
      <w:start w:val="3"/>
      <w:numFmt w:val="decimal"/>
      <w:lvlText w:val="%5."/>
      <w:lvlJc w:val="left"/>
      <w:pPr>
        <w:tabs>
          <w:tab w:val="num" w:pos="0"/>
        </w:tabs>
        <w:ind w:left="3600" w:hanging="360"/>
      </w:pPr>
      <w:rPr/>
    </w:lvl>
    <w:lvl w:ilvl="5">
      <w:start w:val="3"/>
      <w:numFmt w:val="decimal"/>
      <w:lvlText w:val="%6."/>
      <w:lvlJc w:val="left"/>
      <w:pPr>
        <w:tabs>
          <w:tab w:val="num" w:pos="0"/>
        </w:tabs>
        <w:ind w:left="4320" w:hanging="360"/>
      </w:pPr>
      <w:rPr/>
    </w:lvl>
    <w:lvl w:ilvl="6">
      <w:start w:val="3"/>
      <w:numFmt w:val="decimal"/>
      <w:lvlText w:val="%7."/>
      <w:lvlJc w:val="left"/>
      <w:pPr>
        <w:tabs>
          <w:tab w:val="num" w:pos="0"/>
        </w:tabs>
        <w:ind w:left="5040" w:hanging="360"/>
      </w:pPr>
      <w:rPr/>
    </w:lvl>
    <w:lvl w:ilvl="7">
      <w:start w:val="3"/>
      <w:numFmt w:val="decimal"/>
      <w:lvlText w:val="%8."/>
      <w:lvlJc w:val="left"/>
      <w:pPr>
        <w:tabs>
          <w:tab w:val="num" w:pos="0"/>
        </w:tabs>
        <w:ind w:left="5760" w:hanging="360"/>
      </w:pPr>
      <w:rPr/>
    </w:lvl>
    <w:lvl w:ilvl="8">
      <w:start w:val="3"/>
      <w:numFmt w:val="decimal"/>
      <w:lvlText w:val="%9."/>
      <w:lvlJc w:val="left"/>
      <w:pPr>
        <w:tabs>
          <w:tab w:val="num" w:pos="0"/>
        </w:tabs>
        <w:ind w:left="6480" w:hanging="360"/>
      </w:pPr>
      <w:rPr/>
    </w:lvl>
  </w:abstractNum>
  <w:abstractNum w:abstractNumId="22">
    <w:lvl w:ilvl="0">
      <w:start w:val="3"/>
      <w:numFmt w:val="decimal"/>
      <w:lvlText w:val="%1."/>
      <w:lvlJc w:val="left"/>
      <w:pPr>
        <w:tabs>
          <w:tab w:val="num" w:pos="0"/>
        </w:tabs>
        <w:ind w:left="720" w:hanging="360"/>
      </w:pPr>
      <w:rPr/>
    </w:lvl>
    <w:lvl w:ilvl="1">
      <w:start w:val="3"/>
      <w:numFmt w:val="decimal"/>
      <w:lvlText w:val="%2."/>
      <w:lvlJc w:val="left"/>
      <w:pPr>
        <w:tabs>
          <w:tab w:val="num" w:pos="0"/>
        </w:tabs>
        <w:ind w:left="1440" w:hanging="360"/>
      </w:pPr>
      <w:rPr/>
    </w:lvl>
    <w:lvl w:ilvl="2">
      <w:start w:val="3"/>
      <w:numFmt w:val="decimal"/>
      <w:lvlText w:val="%3."/>
      <w:lvlJc w:val="left"/>
      <w:pPr>
        <w:tabs>
          <w:tab w:val="num" w:pos="0"/>
        </w:tabs>
        <w:ind w:left="2160" w:hanging="360"/>
      </w:pPr>
      <w:rPr/>
    </w:lvl>
    <w:lvl w:ilvl="3">
      <w:start w:val="3"/>
      <w:numFmt w:val="decimal"/>
      <w:lvlText w:val="%4."/>
      <w:lvlJc w:val="left"/>
      <w:pPr>
        <w:tabs>
          <w:tab w:val="num" w:pos="0"/>
        </w:tabs>
        <w:ind w:left="2880" w:hanging="360"/>
      </w:pPr>
      <w:rPr/>
    </w:lvl>
    <w:lvl w:ilvl="4">
      <w:start w:val="3"/>
      <w:numFmt w:val="decimal"/>
      <w:lvlText w:val="%5."/>
      <w:lvlJc w:val="left"/>
      <w:pPr>
        <w:tabs>
          <w:tab w:val="num" w:pos="0"/>
        </w:tabs>
        <w:ind w:left="3600" w:hanging="360"/>
      </w:pPr>
      <w:rPr/>
    </w:lvl>
    <w:lvl w:ilvl="5">
      <w:start w:val="3"/>
      <w:numFmt w:val="decimal"/>
      <w:lvlText w:val="%6."/>
      <w:lvlJc w:val="left"/>
      <w:pPr>
        <w:tabs>
          <w:tab w:val="num" w:pos="0"/>
        </w:tabs>
        <w:ind w:left="4320" w:hanging="360"/>
      </w:pPr>
      <w:rPr/>
    </w:lvl>
    <w:lvl w:ilvl="6">
      <w:start w:val="3"/>
      <w:numFmt w:val="decimal"/>
      <w:lvlText w:val="%7."/>
      <w:lvlJc w:val="left"/>
      <w:pPr>
        <w:tabs>
          <w:tab w:val="num" w:pos="0"/>
        </w:tabs>
        <w:ind w:left="5040" w:hanging="360"/>
      </w:pPr>
      <w:rPr/>
    </w:lvl>
    <w:lvl w:ilvl="7">
      <w:start w:val="3"/>
      <w:numFmt w:val="decimal"/>
      <w:lvlText w:val="%8."/>
      <w:lvlJc w:val="left"/>
      <w:pPr>
        <w:tabs>
          <w:tab w:val="num" w:pos="0"/>
        </w:tabs>
        <w:ind w:left="5760" w:hanging="360"/>
      </w:pPr>
      <w:rPr/>
    </w:lvl>
    <w:lvl w:ilvl="8">
      <w:start w:val="3"/>
      <w:numFmt w:val="decimal"/>
      <w:lvlText w:val="%9."/>
      <w:lvlJc w:val="left"/>
      <w:pPr>
        <w:tabs>
          <w:tab w:val="num" w:pos="0"/>
        </w:tabs>
        <w:ind w:left="6480" w:hanging="360"/>
      </w:pPr>
      <w:rPr/>
    </w:lvl>
  </w:abstractNum>
  <w:abstractNum w:abstractNumId="23">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24">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25">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26">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27">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2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7"/>
    <w:lvlOverride w:ilvl="0">
      <w:startOverride w:val="1"/>
    </w:lvlOverride>
  </w:num>
  <w:num w:numId="30">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31">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32">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33">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34">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35">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36">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37">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38">
    <w:abstractNumId w:val="7"/>
    <w:lvlOverride w:ilvl="0">
      <w:startOverride w:val="1"/>
    </w:lvlOverride>
  </w:num>
  <w:num w:numId="39">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40">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41">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42">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43">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44">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45">
    <w:abstractNumId w:val="7"/>
    <w:lvlOverride w:ilvl="0">
      <w:startOverride w:val="1"/>
    </w:lvlOverride>
  </w:num>
  <w:num w:numId="46">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47">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48">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49">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50">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51">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52">
    <w:abstractNumId w:val="7"/>
    <w:lvlOverride w:ilvl="0">
      <w:startOverride w:val="1"/>
    </w:lvlOverride>
  </w:num>
  <w:num w:numId="53">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54">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55">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56">
    <w:abstractNumId w:val="7"/>
    <w:lvlOverride w:ilvl="0">
      <w:startOverride w:val="1"/>
    </w:lvlOverride>
  </w:num>
  <w:num w:numId="57">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58">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59">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60">
    <w:abstractNumId w:val="7"/>
    <w:lvlOverride w:ilvl="0">
      <w:startOverride w:val="1"/>
    </w:lvlOverride>
  </w:num>
  <w:num w:numId="61">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62">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63">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64">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65">
    <w:abstractNumId w:val="7"/>
    <w:lvlOverride w:ilvl="0">
      <w:startOverride w:val="1"/>
    </w:lvlOverride>
  </w:num>
  <w:num w:numId="66">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67">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68">
    <w:abstractNumId w:val="7"/>
    <w:lvlOverride w:ilvl="0">
      <w:startOverride w:val="1"/>
    </w:lvlOverride>
  </w:num>
  <w:num w:numId="69">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70">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71">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72">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73">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74">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75">
    <w:abstractNumId w:val="7"/>
    <w:lvlOverride w:ilvl="0">
      <w:startOverride w:val="1"/>
    </w:lvlOverride>
  </w:num>
  <w:num w:numId="76">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77">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78">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79">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80">
    <w:abstractNumId w:val="7"/>
    <w:lvlOverride w:ilvl="0">
      <w:startOverride w:val="1"/>
    </w:lvlOverride>
  </w:num>
  <w:num w:numId="81">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82">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83">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84">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85">
    <w:abstractNumId w:val="7"/>
    <w:lvlOverride w:ilvl="0">
      <w:startOverride w:val="1"/>
    </w:lvlOverride>
  </w:num>
  <w:num w:numId="86">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87">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88">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89">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90">
    <w:abstractNumId w:val="7"/>
    <w:lvlOverride w:ilvl="0">
      <w:startOverride w:val="1"/>
    </w:lvlOverride>
  </w:num>
  <w:num w:numId="91">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92">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93">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94">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95">
    <w:abstractNumId w:val="7"/>
    <w:lvlOverride w:ilvl="0">
      <w:startOverride w:val="1"/>
    </w:lvlOverride>
  </w:num>
  <w:num w:numId="96">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97">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98">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99">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00">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01">
    <w:abstractNumId w:val="7"/>
    <w:lvlOverride w:ilvl="0">
      <w:startOverride w:val="1"/>
    </w:lvlOverride>
  </w:num>
  <w:num w:numId="102">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03">
    <w:abstractNumId w:val="21"/>
    <w:lvlOverride w:ilvl="0">
      <w:startOverride w:val="3"/>
    </w:lvlOverride>
  </w:num>
  <w:num w:numId="104">
    <w:abstractNumId w:val="7"/>
    <w:lvlOverride w:ilvl="0">
      <w:startOverride w:val="1"/>
    </w:lvlOverride>
  </w:num>
  <w:num w:numId="105">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06">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07">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08">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09">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10">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11">
    <w:abstractNumId w:val="7"/>
    <w:lvlOverride w:ilvl="0">
      <w:startOverride w:val="1"/>
    </w:lvlOverride>
  </w:num>
  <w:num w:numId="112">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13">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14">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15">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16">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17">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18">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19">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20">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21">
    <w:abstractNumId w:val="7"/>
    <w:lvlOverride w:ilvl="0">
      <w:startOverride w:val="1"/>
    </w:lvlOverride>
  </w:num>
  <w:num w:numId="122">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23">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24">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25">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26">
    <w:abstractNumId w:val="7"/>
    <w:lvlOverride w:ilvl="0">
      <w:startOverride w:val="1"/>
    </w:lvlOverride>
  </w:num>
  <w:num w:numId="127">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28">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29">
    <w:abstractNumId w:val="7"/>
    <w:lvlOverride w:ilvl="0">
      <w:startOverride w:val="1"/>
    </w:lvlOverride>
  </w:num>
  <w:num w:numId="130">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31">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32">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33">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 w:numId="134">
    <w:abstractNumId w:val="7"/>
    <w:lvlOverride w:ilvl="0">
      <w:lvl w:ilvl="0">
        <w:start w:val="1"/>
        <w:numFmt w:val="bullet"/>
        <w:lvlText w:val=""/>
        <w:lvlJc w:val="left"/>
        <w:pPr>
          <w:tabs>
            <w:tab w:val="num" w:pos="360"/>
          </w:tabs>
          <w:ind w:left="360" w:hanging="360"/>
        </w:pPr>
        <w:rPr>
          <w:rFonts w:ascii="Symbol" w:hAnsi="Symbol" w:cs="Symbol" w:hint="default"/>
        </w:rPr>
      </w:lvl>
    </w:lvlOverride>
    <w:lvlOverride w:ilvl="0">
      <w:startOverride w:val="1"/>
    </w:lvlOverride>
    <w:lvlOverride w:ilvl="1">
      <w:lvl w:ilvl="1">
        <w:start w:val="1"/>
        <w:numFmt w:val="decimal"/>
        <w:lvlText w:val="%2."/>
        <w:lvlJc w:val="left"/>
        <w:pPr>
          <w:tabs>
            <w:tab w:val="num" w:pos="1080"/>
          </w:tabs>
          <w:ind w:left="1080" w:hanging="360"/>
        </w:pPr>
        <w:rPr/>
      </w:lvl>
    </w:lvlOverride>
    <w:lvlOverride w:ilvl="1">
      <w:startOverride w:val="1"/>
    </w:lvlOverride>
    <w:lvlOverride w:ilvl="2">
      <w:lvl w:ilvl="2">
        <w:start w:val="1"/>
        <w:numFmt w:val="decimal"/>
        <w:lvlText w:val="%3."/>
        <w:lvlJc w:val="left"/>
        <w:pPr>
          <w:tabs>
            <w:tab w:val="num" w:pos="1440"/>
          </w:tabs>
          <w:ind w:left="1440" w:hanging="360"/>
        </w:pPr>
        <w:rPr/>
      </w:lvl>
    </w:lvlOverride>
    <w:lvlOverride w:ilvl="2">
      <w:startOverride w:val="1"/>
    </w:lvlOverride>
    <w:lvlOverride w:ilvl="3">
      <w:lvl w:ilvl="3">
        <w:start w:val="1"/>
        <w:numFmt w:val="decimal"/>
        <w:lvlText w:val="%4."/>
        <w:lvlJc w:val="left"/>
        <w:pPr>
          <w:tabs>
            <w:tab w:val="num" w:pos="1800"/>
          </w:tabs>
          <w:ind w:left="1800" w:hanging="360"/>
        </w:pPr>
        <w:rPr/>
      </w:lvl>
    </w:lvlOverride>
    <w:lvlOverride w:ilvl="3">
      <w:startOverride w:val="1"/>
    </w:lvlOverride>
    <w:lvlOverride w:ilvl="4">
      <w:lvl w:ilvl="4">
        <w:start w:val="1"/>
        <w:numFmt w:val="decimal"/>
        <w:lvlText w:val="%5."/>
        <w:lvlJc w:val="left"/>
        <w:pPr>
          <w:tabs>
            <w:tab w:val="num" w:pos="2160"/>
          </w:tabs>
          <w:ind w:left="2160" w:hanging="360"/>
        </w:pPr>
        <w:rPr/>
      </w:lvl>
    </w:lvlOverride>
    <w:lvlOverride w:ilvl="4">
      <w:startOverride w:val="1"/>
    </w:lvlOverride>
    <w:lvlOverride w:ilvl="5">
      <w:lvl w:ilvl="5">
        <w:start w:val="1"/>
        <w:numFmt w:val="decimal"/>
        <w:lvlText w:val="%6."/>
        <w:lvlJc w:val="left"/>
        <w:pPr>
          <w:tabs>
            <w:tab w:val="num" w:pos="2520"/>
          </w:tabs>
          <w:ind w:left="2520" w:hanging="360"/>
        </w:pPr>
        <w:rPr/>
      </w:lvl>
    </w:lvlOverride>
    <w:lvlOverride w:ilvl="5">
      <w:startOverride w:val="1"/>
    </w:lvlOverride>
    <w:lvlOverride w:ilvl="6">
      <w:lvl w:ilvl="6">
        <w:start w:val="1"/>
        <w:numFmt w:val="decimal"/>
        <w:lvlText w:val="%7."/>
        <w:lvlJc w:val="left"/>
        <w:pPr>
          <w:tabs>
            <w:tab w:val="num" w:pos="2880"/>
          </w:tabs>
          <w:ind w:left="2880" w:hanging="360"/>
        </w:pPr>
        <w:rPr/>
      </w:lvl>
    </w:lvlOverride>
    <w:lvlOverride w:ilvl="6">
      <w:startOverride w:val="1"/>
    </w:lvlOverride>
    <w:lvlOverride w:ilvl="7">
      <w:lvl w:ilvl="7">
        <w:start w:val="1"/>
        <w:numFmt w:val="decimal"/>
        <w:lvlText w:val="%8."/>
        <w:lvlJc w:val="left"/>
        <w:pPr>
          <w:tabs>
            <w:tab w:val="num" w:pos="3240"/>
          </w:tabs>
          <w:ind w:left="3240" w:hanging="360"/>
        </w:pPr>
        <w:rPr/>
      </w:lvl>
    </w:lvlOverride>
    <w:lvlOverride w:ilvl="7">
      <w:startOverride w:val="1"/>
    </w:lvlOverride>
    <w:lvlOverride w:ilvl="8">
      <w:lvl w:ilvl="8">
        <w:start w:val="1"/>
        <w:numFmt w:val="decimal"/>
        <w:lvlText w:val="%9."/>
        <w:lvlJc w:val="left"/>
        <w:pPr>
          <w:tabs>
            <w:tab w:val="num" w:pos="3600"/>
          </w:tabs>
          <w:ind w:left="3600" w:hanging="360"/>
        </w:pPr>
        <w:rPr/>
      </w:lvl>
    </w:lvlOverride>
  </w:num>
</w:numbering>
</file>

<file path=word/settings.xml><?xml version="1.0" encoding="utf-8"?>
<w:settings xmlns:w="http://schemas.openxmlformats.org/wordprocessingml/2006/main">
  <w:zoom w:percent="10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cs-CZ"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cs-CZ" w:eastAsia="en-US" w:bidi="ar-SA"/>
    </w:rPr>
  </w:style>
  <w:style w:type="paragraph" w:styleId="Heading1">
    <w:name w:val="heading 1"/>
    <w:basedOn w:val="Normal"/>
    <w:next w:val="Normal"/>
    <w:qFormat/>
    <w:pPr>
      <w:keepNext w:val="true"/>
      <w:keepLines/>
      <w:spacing w:before="360" w:after="80"/>
      <w:outlineLvl w:val="0"/>
    </w:pPr>
    <w:rPr>
      <w:rFonts w:ascii="Aptos Display" w:hAnsi="Aptos Display" w:eastAsia="Calibri" w:cs=""/>
      <w:color w:themeColor="accent1" w:themeShade="bf" w:val="0F4761"/>
      <w:sz w:val="40"/>
      <w:szCs w:val="40"/>
    </w:rPr>
  </w:style>
  <w:style w:type="paragraph" w:styleId="Heading2">
    <w:name w:val="heading 2"/>
    <w:basedOn w:val="Normal"/>
    <w:next w:val="Normal"/>
    <w:qFormat/>
    <w:pPr>
      <w:keepNext w:val="true"/>
      <w:keepLines/>
      <w:spacing w:before="160" w:after="80"/>
      <w:outlineLvl w:val="1"/>
    </w:pPr>
    <w:rPr>
      <w:rFonts w:ascii="Aptos Display" w:hAnsi="Aptos Display" w:eastAsia="Calibri" w:cs=""/>
      <w:color w:themeColor="accent1" w:themeShade="bf" w:val="0F4761"/>
      <w:sz w:val="32"/>
      <w:szCs w:val="32"/>
    </w:rPr>
  </w:style>
  <w:style w:type="paragraph" w:styleId="Heading3">
    <w:name w:val="heading 3"/>
    <w:basedOn w:val="Normal"/>
    <w:next w:val="Normal"/>
    <w:qFormat/>
    <w:pPr>
      <w:keepNext w:val="true"/>
      <w:keepLines/>
      <w:spacing w:before="160" w:after="80"/>
      <w:outlineLvl w:val="2"/>
    </w:pPr>
    <w:rPr>
      <w:rFonts w:eastAsia="Calibri" w:cs=""/>
      <w:color w:themeColor="accent1" w:themeShade="bf" w:val="0F4761"/>
      <w:sz w:val="28"/>
      <w:szCs w:val="28"/>
    </w:rPr>
  </w:style>
  <w:style w:type="paragraph" w:styleId="Heading4">
    <w:name w:val="heading 4"/>
    <w:basedOn w:val="Normal"/>
    <w:next w:val="Normal"/>
    <w:qFormat/>
    <w:pPr>
      <w:keepNext w:val="true"/>
      <w:keepLines/>
      <w:spacing w:before="80" w:after="40"/>
      <w:outlineLvl w:val="3"/>
    </w:pPr>
    <w:rPr>
      <w:rFonts w:eastAsia="Calibri" w:cs=""/>
      <w:i/>
      <w:iCs/>
      <w:color w:themeColor="accent1" w:themeShade="bf" w:val="0F4761"/>
    </w:rPr>
  </w:style>
  <w:style w:type="paragraph" w:styleId="Heading5">
    <w:name w:val="heading 5"/>
    <w:basedOn w:val="Normal"/>
    <w:next w:val="Normal"/>
    <w:qFormat/>
    <w:pPr>
      <w:keepNext w:val="true"/>
      <w:keepLines/>
      <w:spacing w:before="80" w:after="40"/>
      <w:outlineLvl w:val="4"/>
    </w:pPr>
    <w:rPr>
      <w:rFonts w:eastAsia="Calibri" w:cs=""/>
      <w:color w:themeColor="accent1" w:themeShade="bf" w:val="0F4761"/>
    </w:rPr>
  </w:style>
  <w:style w:type="paragraph" w:styleId="Heading6">
    <w:name w:val="heading 6"/>
    <w:basedOn w:val="Normal"/>
    <w:next w:val="Normal"/>
    <w:qFormat/>
    <w:pPr>
      <w:keepNext w:val="true"/>
      <w:keepLines/>
      <w:spacing w:before="40" w:after="0"/>
      <w:outlineLvl w:val="5"/>
    </w:pPr>
    <w:rPr>
      <w:rFonts w:eastAsia="Calibri" w:cs=""/>
      <w:i/>
      <w:iCs/>
      <w:color w:themeColor="dark1" w:themeTint="a6" w:val="595959"/>
    </w:rPr>
  </w:style>
  <w:style w:type="paragraph" w:styleId="Heading7">
    <w:name w:val="heading 7"/>
    <w:basedOn w:val="Normal"/>
    <w:next w:val="Normal"/>
    <w:qFormat/>
    <w:pPr>
      <w:keepNext w:val="true"/>
      <w:keepLines/>
      <w:spacing w:before="40" w:after="0"/>
      <w:outlineLvl w:val="6"/>
    </w:pPr>
    <w:rPr>
      <w:rFonts w:eastAsia="Calibri" w:cs=""/>
      <w:color w:themeColor="dark1" w:themeTint="a6" w:val="595959"/>
    </w:rPr>
  </w:style>
  <w:style w:type="paragraph" w:styleId="Heading8">
    <w:name w:val="heading 8"/>
    <w:basedOn w:val="Normal"/>
    <w:next w:val="Normal"/>
    <w:qFormat/>
    <w:pPr>
      <w:keepNext w:val="true"/>
      <w:keepLines/>
      <w:spacing w:before="0" w:after="0"/>
      <w:outlineLvl w:val="7"/>
    </w:pPr>
    <w:rPr>
      <w:rFonts w:eastAsia="Calibri" w:cs=""/>
      <w:i/>
      <w:iCs/>
      <w:color w:themeColor="dark1" w:themeTint="d8" w:val="272727"/>
    </w:rPr>
  </w:style>
  <w:style w:type="paragraph" w:styleId="Heading9">
    <w:name w:val="heading 9"/>
    <w:basedOn w:val="Normal"/>
    <w:next w:val="Normal"/>
    <w:qFormat/>
    <w:pPr>
      <w:keepNext w:val="true"/>
      <w:keepLines/>
      <w:spacing w:before="0" w:after="0"/>
      <w:outlineLvl w:val="8"/>
    </w:pPr>
    <w:rPr>
      <w:rFonts w:eastAsia="Calibri" w:cs=""/>
      <w:color w:themeColor="dark1" w:themeTint="d8" w:val="272727"/>
    </w:rPr>
  </w:style>
  <w:style w:type="character" w:styleId="DefaultParagraphFont" w:default="1">
    <w:name w:val="Default Paragraph Font"/>
    <w:uiPriority w:val="1"/>
    <w:semiHidden/>
    <w:unhideWhenUsed/>
    <w:qFormat/>
    <w:rPr/>
  </w:style>
  <w:style w:type="character" w:styleId="ZhlavChar" w:customStyle="1">
    <w:name w:val="Záhlaví Char"/>
    <w:basedOn w:val="DefaultParagraphFont"/>
    <w:uiPriority w:val="99"/>
    <w:qFormat/>
    <w:rsid w:val="003d745f"/>
    <w:rPr/>
  </w:style>
  <w:style w:type="character" w:styleId="ZpatChar" w:customStyle="1">
    <w:name w:val="Zápatí Char"/>
    <w:basedOn w:val="DefaultParagraphFont"/>
    <w:uiPriority w:val="99"/>
    <w:qFormat/>
    <w:rsid w:val="003d745f"/>
    <w:rPr/>
  </w:style>
  <w:style w:type="character" w:styleId="TextbublinyChar" w:customStyle="1">
    <w:name w:val="Text bubliny Char"/>
    <w:basedOn w:val="DefaultParagraphFont"/>
    <w:link w:val="BalloonText"/>
    <w:uiPriority w:val="99"/>
    <w:semiHidden/>
    <w:qFormat/>
    <w:rsid w:val="00c04987"/>
    <w:rPr>
      <w:rFonts w:ascii="Segoe UI" w:hAnsi="Segoe UI" w:cs="Segoe UI"/>
      <w:sz w:val="18"/>
      <w:szCs w:val="18"/>
    </w:rPr>
  </w:style>
  <w:style w:type="character" w:styleId="Hyperlink">
    <w:name w:val="Hyperlink"/>
    <w:basedOn w:val="DefaultParagraphFont"/>
    <w:uiPriority w:val="99"/>
    <w:unhideWhenUsed/>
    <w:rsid w:val="00d617cb"/>
    <w:rPr>
      <w:color w:themeColor="hyperlink" w:val="0563C1"/>
      <w:u w:val="single"/>
    </w:rPr>
  </w:style>
  <w:style w:type="character" w:styleId="IntenseReference">
    <w:name w:val="Intense Reference"/>
    <w:basedOn w:val="DefaultParagraphFont"/>
    <w:qFormat/>
    <w:rPr>
      <w:b/>
      <w:bCs/>
      <w:smallCaps/>
      <w:color w:themeColor="accent1" w:themeShade="bf" w:val="0F4761"/>
      <w:spacing w:val="5"/>
    </w:rPr>
  </w:style>
  <w:style w:type="character" w:styleId="VrazncittChar">
    <w:name w:val="Výrazný citát Char"/>
    <w:basedOn w:val="DefaultParagraphFont"/>
    <w:qFormat/>
    <w:rPr>
      <w:i/>
      <w:iCs/>
      <w:color w:themeColor="accent1" w:themeShade="bf" w:val="0F4761"/>
    </w:rPr>
  </w:style>
  <w:style w:type="character" w:styleId="IntenseEmphasis">
    <w:name w:val="Intense Emphasis"/>
    <w:basedOn w:val="DefaultParagraphFont"/>
    <w:qFormat/>
    <w:rPr>
      <w:i/>
      <w:iCs/>
      <w:color w:themeColor="accent1" w:themeShade="bf" w:val="0F4761"/>
    </w:rPr>
  </w:style>
  <w:style w:type="character" w:styleId="CittChar">
    <w:name w:val="Citát Char"/>
    <w:basedOn w:val="DefaultParagraphFont"/>
    <w:qFormat/>
    <w:rPr>
      <w:i/>
      <w:iCs/>
      <w:color w:themeColor="dark1" w:themeTint="bf" w:val="404040"/>
    </w:rPr>
  </w:style>
  <w:style w:type="character" w:styleId="PodnadpisChar">
    <w:name w:val="Podnadpis Char"/>
    <w:basedOn w:val="DefaultParagraphFont"/>
    <w:qFormat/>
    <w:rPr>
      <w:rFonts w:eastAsia="Calibri" w:cs=""/>
      <w:color w:themeColor="dark1" w:themeTint="a6" w:val="595959"/>
      <w:spacing w:val="15"/>
      <w:sz w:val="28"/>
      <w:szCs w:val="28"/>
    </w:rPr>
  </w:style>
  <w:style w:type="character" w:styleId="NzevChar">
    <w:name w:val="Název Char"/>
    <w:basedOn w:val="DefaultParagraphFont"/>
    <w:qFormat/>
    <w:rPr>
      <w:rFonts w:ascii="Aptos Display" w:hAnsi="Aptos Display" w:eastAsia="Calibri" w:cs=""/>
      <w:spacing w:val="-10"/>
      <w:kern w:val="2"/>
      <w:sz w:val="56"/>
      <w:szCs w:val="56"/>
    </w:rPr>
  </w:style>
  <w:style w:type="character" w:styleId="Nadpis9Char">
    <w:name w:val="Nadpis 9 Char"/>
    <w:basedOn w:val="DefaultParagraphFont"/>
    <w:qFormat/>
    <w:rPr>
      <w:rFonts w:eastAsia="Calibri" w:cs=""/>
      <w:color w:themeColor="dark1" w:themeTint="d8" w:val="272727"/>
    </w:rPr>
  </w:style>
  <w:style w:type="character" w:styleId="Nadpis8Char">
    <w:name w:val="Nadpis 8 Char"/>
    <w:basedOn w:val="DefaultParagraphFont"/>
    <w:qFormat/>
    <w:rPr>
      <w:rFonts w:eastAsia="Calibri" w:cs=""/>
      <w:i/>
      <w:iCs/>
      <w:color w:themeColor="dark1" w:themeTint="d8" w:val="272727"/>
    </w:rPr>
  </w:style>
  <w:style w:type="character" w:styleId="Nadpis7Char">
    <w:name w:val="Nadpis 7 Char"/>
    <w:basedOn w:val="DefaultParagraphFont"/>
    <w:qFormat/>
    <w:rPr>
      <w:rFonts w:eastAsia="Calibri" w:cs=""/>
      <w:color w:themeColor="dark1" w:themeTint="a6" w:val="595959"/>
    </w:rPr>
  </w:style>
  <w:style w:type="character" w:styleId="Nadpis6Char">
    <w:name w:val="Nadpis 6 Char"/>
    <w:basedOn w:val="DefaultParagraphFont"/>
    <w:qFormat/>
    <w:rPr>
      <w:rFonts w:eastAsia="Calibri" w:cs=""/>
      <w:i/>
      <w:iCs/>
      <w:color w:themeColor="dark1" w:themeTint="a6" w:val="595959"/>
    </w:rPr>
  </w:style>
  <w:style w:type="character" w:styleId="Nadpis5Char">
    <w:name w:val="Nadpis 5 Char"/>
    <w:basedOn w:val="DefaultParagraphFont"/>
    <w:qFormat/>
    <w:rPr>
      <w:rFonts w:eastAsia="Calibri" w:cs=""/>
      <w:color w:themeColor="accent1" w:themeShade="bf" w:val="0F4761"/>
    </w:rPr>
  </w:style>
  <w:style w:type="character" w:styleId="Nadpis4Char">
    <w:name w:val="Nadpis 4 Char"/>
    <w:basedOn w:val="DefaultParagraphFont"/>
    <w:qFormat/>
    <w:rPr>
      <w:rFonts w:eastAsia="Calibri" w:cs=""/>
      <w:i/>
      <w:iCs/>
      <w:color w:themeColor="accent1" w:themeShade="bf" w:val="0F4761"/>
    </w:rPr>
  </w:style>
  <w:style w:type="character" w:styleId="Nadpis3Char">
    <w:name w:val="Nadpis 3 Char"/>
    <w:basedOn w:val="DefaultParagraphFont"/>
    <w:qFormat/>
    <w:rPr>
      <w:rFonts w:eastAsia="Calibri" w:cs=""/>
      <w:color w:themeColor="accent1" w:themeShade="bf" w:val="0F4761"/>
      <w:sz w:val="28"/>
      <w:szCs w:val="28"/>
    </w:rPr>
  </w:style>
  <w:style w:type="character" w:styleId="Nadpis2Char">
    <w:name w:val="Nadpis 2 Char"/>
    <w:basedOn w:val="DefaultParagraphFont"/>
    <w:qFormat/>
    <w:rPr>
      <w:rFonts w:ascii="Aptos Display" w:hAnsi="Aptos Display" w:eastAsia="Calibri" w:cs=""/>
      <w:color w:themeColor="accent1" w:themeShade="bf" w:val="0F4761"/>
      <w:sz w:val="32"/>
      <w:szCs w:val="32"/>
    </w:rPr>
  </w:style>
  <w:style w:type="character" w:styleId="Nadpis1Char">
    <w:name w:val="Nadpis 1 Char"/>
    <w:basedOn w:val="DefaultParagraphFont"/>
    <w:qFormat/>
    <w:rPr>
      <w:rFonts w:ascii="Aptos Display" w:hAnsi="Aptos Display" w:eastAsia="Calibri" w:cs=""/>
      <w:color w:themeColor="accent1" w:themeShade="bf" w:val="0F4761"/>
      <w:sz w:val="40"/>
      <w:szCs w:val="40"/>
    </w:rPr>
  </w:style>
  <w:style w:type="character" w:styleId="BookTitle">
    <w:name w:val="Book Title"/>
    <w:basedOn w:val="DefaultParagraphFont"/>
    <w:qFormat/>
    <w:rPr>
      <w:b/>
      <w:bCs/>
      <w:smallCaps/>
      <w:spacing w:val="5"/>
    </w:rPr>
  </w:style>
  <w:style w:type="character" w:styleId="SubtleReference">
    <w:name w:val="Subtle Reference"/>
    <w:basedOn w:val="DefaultParagraphFont"/>
    <w:qFormat/>
    <w:rPr>
      <w:smallCaps/>
      <w:color w:themeColor="accent2" w:val="C0504D"/>
      <w:u w:val="single"/>
    </w:rPr>
  </w:style>
  <w:style w:type="character" w:styleId="SubtleEmphasis">
    <w:name w:val="Subtle Emphasis"/>
    <w:basedOn w:val="DefaultParagraphFont"/>
    <w:qFormat/>
    <w:rPr>
      <w:i/>
      <w:iCs/>
      <w:color w:themeColor="dark1" w:themeTint="fe" w:val="808080"/>
      <w14:textFill>
        <w14:solidFill>
          <w14:schemeClr w14:val="dk1">
            <w14:lumMod w14:val="50000"/>
            <w14:lumOff w14:val="50000"/>
          </w14:schemeClr>
        </w14:solidFill>
      </w14:textFill>
    </w:rPr>
  </w:style>
  <w:style w:type="character" w:styleId="IntenseQuoteChar">
    <w:name w:val="Intense Quote Char"/>
    <w:basedOn w:val="DefaultParagraphFont"/>
    <w:qFormat/>
    <w:rPr>
      <w:b/>
      <w:bCs/>
      <w:i/>
      <w:iCs/>
      <w:color w:themeColor="accent1" w:val="4F81BD"/>
    </w:rPr>
  </w:style>
  <w:style w:type="character" w:styleId="Heading9Char">
    <w:name w:val="Heading 9 Char"/>
    <w:basedOn w:val="DefaultParagraphFont"/>
    <w:qFormat/>
    <w:rPr>
      <w:rFonts w:ascii="Calibri" w:hAnsi="Calibri" w:eastAsia="Calibri" w:cs=""/>
      <w:i/>
      <w:iCs/>
      <w:color w:themeColor="dark1" w:themeTint="fe" w:val="404040"/>
      <w:sz w:val="20"/>
      <w:szCs w:val="20"/>
      <w14:textFill>
        <w14:solidFill>
          <w14:schemeClr w14:val="dk1">
            <w14:lumMod w14:val="75000"/>
            <w14:lumOff w14:val="25000"/>
          </w14:schemeClr>
        </w14:solidFill>
      </w14:textFill>
    </w:rPr>
  </w:style>
  <w:style w:type="character" w:styleId="Heading8Char">
    <w:name w:val="Heading 8 Char"/>
    <w:basedOn w:val="DefaultParagraphFont"/>
    <w:qFormat/>
    <w:rPr>
      <w:rFonts w:ascii="Calibri" w:hAnsi="Calibri" w:eastAsia="Calibri" w:cs=""/>
      <w:color w:themeColor="accent1" w:val="4F81BD"/>
      <w:sz w:val="20"/>
      <w:szCs w:val="20"/>
    </w:rPr>
  </w:style>
  <w:style w:type="character" w:styleId="Heading7Char">
    <w:name w:val="Heading 7 Char"/>
    <w:basedOn w:val="DefaultParagraphFont"/>
    <w:qFormat/>
    <w:rPr>
      <w:rFonts w:ascii="Calibri" w:hAnsi="Calibri" w:eastAsia="Calibri" w:cs=""/>
      <w:i/>
      <w:iCs/>
      <w:color w:themeColor="dark1" w:themeTint="fe" w:val="404040"/>
      <w14:textFill>
        <w14:solidFill>
          <w14:schemeClr w14:val="dk1">
            <w14:lumMod w14:val="75000"/>
            <w14:lumOff w14:val="25000"/>
          </w14:schemeClr>
        </w14:solidFill>
      </w14:textFill>
    </w:rPr>
  </w:style>
  <w:style w:type="character" w:styleId="Heading6Char">
    <w:name w:val="Heading 6 Char"/>
    <w:basedOn w:val="DefaultParagraphFont"/>
    <w:qFormat/>
    <w:rPr>
      <w:rFonts w:ascii="Calibri" w:hAnsi="Calibri" w:eastAsia="Calibri" w:cs=""/>
      <w:i/>
      <w:iCs/>
      <w:color w:themeColor="accent1" w:themeShade="80" w:val="254061"/>
    </w:rPr>
  </w:style>
  <w:style w:type="character" w:styleId="Heading5Char">
    <w:name w:val="Heading 5 Char"/>
    <w:basedOn w:val="DefaultParagraphFont"/>
    <w:qFormat/>
    <w:rPr>
      <w:rFonts w:ascii="Calibri" w:hAnsi="Calibri" w:eastAsia="Calibri" w:cs=""/>
      <w:color w:themeColor="accent1" w:themeShade="80" w:val="254061"/>
    </w:rPr>
  </w:style>
  <w:style w:type="character" w:styleId="Heading4Char">
    <w:name w:val="Heading 4 Char"/>
    <w:basedOn w:val="DefaultParagraphFont"/>
    <w:qFormat/>
    <w:rPr>
      <w:rFonts w:ascii="Calibri" w:hAnsi="Calibri" w:eastAsia="Calibri" w:cs=""/>
      <w:b/>
      <w:bCs/>
      <w:i/>
      <w:iCs/>
      <w:color w:themeColor="accent1" w:val="4F81BD"/>
    </w:rPr>
  </w:style>
  <w:style w:type="character" w:styleId="QuoteChar">
    <w:name w:val="Quote Char"/>
    <w:basedOn w:val="DefaultParagraphFont"/>
    <w:qFormat/>
    <w:rPr>
      <w:i/>
      <w:iCs/>
      <w:color w:themeColor="dark1" w:val="000000"/>
    </w:rPr>
  </w:style>
  <w:style w:type="character" w:styleId="MacroTextChar">
    <w:name w:val="Macro Text Char"/>
    <w:basedOn w:val="DefaultParagraphFont"/>
    <w:qFormat/>
    <w:rPr>
      <w:rFonts w:ascii="Courier" w:hAnsi="Courier"/>
      <w:sz w:val="20"/>
      <w:szCs w:val="20"/>
    </w:rPr>
  </w:style>
  <w:style w:type="character" w:styleId="BodyText3Char">
    <w:name w:val="Body Text 3 Char"/>
    <w:basedOn w:val="DefaultParagraphFont"/>
    <w:qFormat/>
    <w:rPr>
      <w:sz w:val="16"/>
      <w:szCs w:val="16"/>
    </w:rPr>
  </w:style>
  <w:style w:type="character" w:styleId="BodyText2Char">
    <w:name w:val="Body Text 2 Char"/>
    <w:basedOn w:val="DefaultParagraphFont"/>
    <w:qFormat/>
    <w:rPr/>
  </w:style>
  <w:style w:type="character" w:styleId="BodyTextChar">
    <w:name w:val="Body Text Char"/>
    <w:basedOn w:val="DefaultParagraphFont"/>
    <w:qFormat/>
    <w:rPr/>
  </w:style>
  <w:style w:type="character" w:styleId="SubtitleChar">
    <w:name w:val="Subtitle Char"/>
    <w:basedOn w:val="DefaultParagraphFont"/>
    <w:qFormat/>
    <w:rPr>
      <w:rFonts w:ascii="Calibri" w:hAnsi="Calibri" w:eastAsia="Calibri" w:cs=""/>
      <w:i/>
      <w:iCs/>
      <w:color w:themeColor="accent1" w:val="4F81BD"/>
      <w:spacing w:val="15"/>
      <w:sz w:val="24"/>
      <w:szCs w:val="24"/>
    </w:rPr>
  </w:style>
  <w:style w:type="character" w:styleId="TitleChar">
    <w:name w:val="Title Char"/>
    <w:basedOn w:val="DefaultParagraphFont"/>
    <w:qFormat/>
    <w:rPr>
      <w:rFonts w:ascii="Calibri" w:hAnsi="Calibri" w:eastAsia="Calibri" w:cs=""/>
      <w:color w:themeColor="dark2" w:themeShade="bf" w:val="17375E"/>
      <w:spacing w:val="5"/>
      <w:kern w:val="2"/>
      <w:sz w:val="52"/>
      <w:szCs w:val="52"/>
    </w:rPr>
  </w:style>
  <w:style w:type="character" w:styleId="Heading3Char">
    <w:name w:val="Heading 3 Char"/>
    <w:basedOn w:val="DefaultParagraphFont"/>
    <w:qFormat/>
    <w:rPr>
      <w:rFonts w:ascii="Calibri" w:hAnsi="Calibri" w:eastAsia="Calibri" w:cs=""/>
      <w:b/>
      <w:bCs/>
      <w:color w:themeColor="accent1" w:val="4F81BD"/>
    </w:rPr>
  </w:style>
  <w:style w:type="character" w:styleId="Heading2Char">
    <w:name w:val="Heading 2 Char"/>
    <w:basedOn w:val="DefaultParagraphFont"/>
    <w:qFormat/>
    <w:rPr>
      <w:rFonts w:ascii="Calibri" w:hAnsi="Calibri" w:eastAsia="Calibri" w:cs=""/>
      <w:b/>
      <w:bCs/>
      <w:color w:themeColor="accent1" w:val="4F81BD"/>
      <w:sz w:val="26"/>
      <w:szCs w:val="26"/>
    </w:rPr>
  </w:style>
  <w:style w:type="character" w:styleId="Heading1Char">
    <w:name w:val="Heading 1 Char"/>
    <w:basedOn w:val="DefaultParagraphFont"/>
    <w:qFormat/>
    <w:rPr>
      <w:rFonts w:ascii="Calibri" w:hAnsi="Calibri" w:eastAsia="Calibri" w:cs=""/>
      <w:b/>
      <w:bCs/>
      <w:color w:themeColor="accent1" w:themeShade="bf" w:val="376092"/>
      <w:sz w:val="28"/>
      <w:szCs w:val="28"/>
    </w:rPr>
  </w:style>
  <w:style w:type="character" w:styleId="FooterChar">
    <w:name w:val="Footer Char"/>
    <w:basedOn w:val="DefaultParagraphFont"/>
    <w:qFormat/>
    <w:rPr/>
  </w:style>
  <w:style w:type="character" w:styleId="HeaderChar">
    <w:name w:val="Header Char"/>
    <w:basedOn w:val="DefaultParagraphFont"/>
    <w:qFormat/>
    <w:rPr/>
  </w:style>
  <w:style w:type="character" w:styleId="Strong">
    <w:name w:val="Strong"/>
    <w:basedOn w:val="DefaultParagraphFont"/>
    <w:qFormat/>
    <w:rPr>
      <w:b/>
      <w:bCs/>
    </w:rPr>
  </w:style>
  <w:style w:type="character" w:styleId="Emphasis">
    <w:name w:val="Emphasis"/>
    <w:basedOn w:val="DefaultParagraphFont"/>
    <w:qFormat/>
    <w:rPr>
      <w:i/>
      <w:iCs/>
    </w:rPr>
  </w:style>
  <w:style w:type="paragraph" w:styleId="Nadpis">
    <w:name w:val="Nadpis"/>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Rejstk">
    <w:name w:val="Rejstřík"/>
    <w:basedOn w:val="Normal"/>
    <w:qFormat/>
    <w:pPr>
      <w:suppressLineNumbers/>
    </w:pPr>
    <w:rPr>
      <w:rFonts w:cs="Arial"/>
    </w:rPr>
  </w:style>
  <w:style w:type="paragraph" w:styleId="Nadpisuser">
    <w:name w:val="Nadpis (user)"/>
    <w:basedOn w:val="Normal"/>
    <w:next w:val="BodyText"/>
    <w:qFormat/>
    <w:pPr>
      <w:keepNext w:val="true"/>
      <w:spacing w:before="240" w:after="120"/>
    </w:pPr>
    <w:rPr>
      <w:rFonts w:ascii="Liberation Sans" w:hAnsi="Liberation Sans" w:eastAsia="Microsoft YaHei" w:cs="Arial"/>
      <w:sz w:val="28"/>
      <w:szCs w:val="28"/>
    </w:rPr>
  </w:style>
  <w:style w:type="paragraph" w:styleId="Rejstkuser">
    <w:name w:val="Rejstřík (user)"/>
    <w:basedOn w:val="Normal"/>
    <w:qFormat/>
    <w:pPr>
      <w:suppressLineNumbers/>
    </w:pPr>
    <w:rPr>
      <w:rFonts w:cs="Arial"/>
    </w:rPr>
  </w:style>
  <w:style w:type="paragraph" w:styleId="Zhlavazpatuser">
    <w:name w:val="Záhlaví a zápatí (user)"/>
    <w:basedOn w:val="Normal"/>
    <w:qFormat/>
    <w:pPr/>
    <w:rPr/>
  </w:style>
  <w:style w:type="paragraph" w:styleId="Zhlavazpat">
    <w:name w:val="Záhlaví a zápatí"/>
    <w:basedOn w:val="Normal"/>
    <w:qFormat/>
    <w:pPr/>
    <w:rPr/>
  </w:style>
  <w:style w:type="paragraph" w:styleId="Header">
    <w:name w:val="header"/>
    <w:basedOn w:val="Normal"/>
    <w:link w:val="ZhlavChar"/>
    <w:uiPriority w:val="99"/>
    <w:unhideWhenUsed/>
    <w:rsid w:val="003d745f"/>
    <w:pPr>
      <w:tabs>
        <w:tab w:val="clear" w:pos="708"/>
        <w:tab w:val="center" w:pos="4536" w:leader="none"/>
        <w:tab w:val="right" w:pos="9072" w:leader="none"/>
      </w:tabs>
      <w:spacing w:lineRule="auto" w:line="240" w:before="0" w:after="0"/>
    </w:pPr>
    <w:rPr/>
  </w:style>
  <w:style w:type="paragraph" w:styleId="Footer">
    <w:name w:val="footer"/>
    <w:basedOn w:val="Normal"/>
    <w:link w:val="ZpatChar"/>
    <w:uiPriority w:val="99"/>
    <w:unhideWhenUsed/>
    <w:rsid w:val="003d745f"/>
    <w:pPr>
      <w:tabs>
        <w:tab w:val="clear" w:pos="708"/>
        <w:tab w:val="center" w:pos="4536" w:leader="none"/>
        <w:tab w:val="right" w:pos="9072" w:leader="none"/>
      </w:tabs>
      <w:spacing w:lineRule="auto" w:line="240" w:before="0" w:after="0"/>
    </w:pPr>
    <w:rPr/>
  </w:style>
  <w:style w:type="paragraph" w:styleId="NoSpacing">
    <w:name w:val="No Spacing"/>
    <w:uiPriority w:val="1"/>
    <w:qFormat/>
    <w:rsid w:val="00023ce9"/>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cs-CZ" w:eastAsia="en-US" w:bidi="ar-SA"/>
    </w:rPr>
  </w:style>
  <w:style w:type="paragraph" w:styleId="BalloonText">
    <w:name w:val="Balloon Text"/>
    <w:basedOn w:val="Normal"/>
    <w:link w:val="TextbublinyChar"/>
    <w:uiPriority w:val="99"/>
    <w:semiHidden/>
    <w:unhideWhenUsed/>
    <w:qFormat/>
    <w:rsid w:val="00c04987"/>
    <w:pPr>
      <w:spacing w:lineRule="auto" w:line="240" w:before="0" w:after="0"/>
    </w:pPr>
    <w:rPr>
      <w:rFonts w:ascii="Segoe UI" w:hAnsi="Segoe UI" w:cs="Segoe UI"/>
      <w:sz w:val="18"/>
      <w:szCs w:val="18"/>
    </w:rPr>
  </w:style>
  <w:style w:type="paragraph" w:styleId="ListParagraph">
    <w:name w:val="List Paragraph"/>
    <w:basedOn w:val="Normal"/>
    <w:uiPriority w:val="34"/>
    <w:qFormat/>
    <w:rsid w:val="00f30279"/>
    <w:pPr>
      <w:spacing w:before="0" w:after="160"/>
      <w:ind w:left="720"/>
      <w:contextualSpacing/>
    </w:pPr>
    <w:rPr/>
  </w:style>
  <w:style w:type="paragraph" w:styleId="Obsahtabulky">
    <w:name w:val="Obsah tabulky"/>
    <w:basedOn w:val="Normal"/>
    <w:qFormat/>
    <w:pPr>
      <w:widowControl w:val="false"/>
      <w:suppressLineNumbers/>
    </w:pPr>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jc w:val="center"/>
    </w:pPr>
    <w:rPr>
      <w:i/>
      <w:iCs/>
      <w:color w:themeColor="accent1" w:themeShade="bf" w:val="0F4761"/>
    </w:rPr>
  </w:style>
  <w:style w:type="paragraph" w:styleId="Quote">
    <w:name w:val="Quote"/>
    <w:basedOn w:val="Normal"/>
    <w:next w:val="Normal"/>
    <w:qFormat/>
    <w:pPr>
      <w:spacing w:before="160" w:after="160"/>
      <w:jc w:val="center"/>
    </w:pPr>
    <w:rPr>
      <w:i/>
      <w:iCs/>
      <w:color w:themeColor="dark1" w:themeTint="bf" w:val="404040"/>
    </w:rPr>
  </w:style>
  <w:style w:type="paragraph" w:styleId="Subtitle">
    <w:name w:val="Subtitle"/>
    <w:basedOn w:val="Normal"/>
    <w:next w:val="Normal"/>
    <w:qFormat/>
    <w:pPr/>
    <w:rPr>
      <w:rFonts w:eastAsia="Calibri" w:cs=""/>
      <w:color w:themeColor="dark1" w:themeTint="a6" w:val="595959"/>
      <w:spacing w:val="15"/>
      <w:sz w:val="28"/>
      <w:szCs w:val="28"/>
    </w:rPr>
  </w:style>
  <w:style w:type="paragraph" w:styleId="Title">
    <w:name w:val="Title"/>
    <w:basedOn w:val="Normal"/>
    <w:next w:val="Normal"/>
    <w:qFormat/>
    <w:pPr>
      <w:spacing w:lineRule="auto" w:line="240" w:before="0" w:after="80"/>
      <w:contextualSpacing/>
    </w:pPr>
    <w:rPr>
      <w:rFonts w:ascii="Aptos Display" w:hAnsi="Aptos Display" w:eastAsia="Calibri" w:cs=""/>
      <w:spacing w:val="-10"/>
      <w:kern w:val="2"/>
      <w:sz w:val="56"/>
      <w:szCs w:val="56"/>
    </w:rPr>
  </w:style>
  <w:style w:type="paragraph" w:styleId="IndexHeading">
    <w:name w:val="index heading"/>
    <w:basedOn w:val="Nadpis"/>
    <w:pPr>
      <w:suppressLineNumbers/>
      <w:ind w:hanging="0" w:left="0"/>
    </w:pPr>
    <w:rPr>
      <w:b/>
      <w:bCs/>
      <w:sz w:val="32"/>
      <w:szCs w:val="32"/>
    </w:rPr>
  </w:style>
  <w:style w:type="paragraph" w:styleId="TOCHeading">
    <w:name w:val="TOC Heading"/>
    <w:basedOn w:val="Heading1"/>
    <w:next w:val="Normal"/>
    <w:qFormat/>
    <w:pPr>
      <w:outlineLvl w:val="9"/>
    </w:pPr>
    <w:rPr/>
  </w:style>
  <w:style w:type="paragraph" w:styleId="MacroText">
    <w:name w:val="macro"/>
    <w:qFormat/>
    <w:pPr>
      <w:widowControl/>
      <w:tabs>
        <w:tab w:val="clear" w:pos="708"/>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Calibri" w:cs="" w:cstheme="minorBidi" w:eastAsiaTheme="minorHAnsi"/>
      <w:color w:val="auto"/>
      <w:kern w:val="0"/>
      <w:sz w:val="20"/>
      <w:szCs w:val="20"/>
      <w:lang w:val="en-US" w:eastAsia="en-US" w:bidi="ar-SA"/>
    </w:rPr>
  </w:style>
  <w:style w:type="paragraph" w:styleId="ListNumber3">
    <w:name w:val="List Number 3"/>
    <w:basedOn w:val="Normal"/>
    <w:pPr>
      <w:numPr>
        <w:ilvl w:val="0"/>
        <w:numId w:val="6"/>
      </w:numPr>
      <w:spacing w:before="0" w:after="200"/>
      <w:contextualSpacing/>
    </w:pPr>
    <w:rPr/>
  </w:style>
  <w:style w:type="paragraph" w:styleId="ListNumber2">
    <w:name w:val="List Number 2"/>
    <w:basedOn w:val="Normal"/>
    <w:pPr>
      <w:numPr>
        <w:ilvl w:val="0"/>
        <w:numId w:val="5"/>
      </w:numPr>
      <w:spacing w:before="0" w:after="200"/>
      <w:contextualSpacing/>
    </w:pPr>
    <w:rPr/>
  </w:style>
  <w:style w:type="paragraph" w:styleId="ListNumber">
    <w:name w:val="List Number"/>
    <w:basedOn w:val="Normal"/>
    <w:pPr>
      <w:numPr>
        <w:ilvl w:val="0"/>
        <w:numId w:val="4"/>
      </w:numPr>
      <w:spacing w:before="0" w:after="200"/>
      <w:contextualSpacing/>
    </w:pPr>
    <w:rPr/>
  </w:style>
  <w:style w:type="paragraph" w:styleId="ListContinue3">
    <w:name w:val="List Continue 3"/>
    <w:basedOn w:val="Normal"/>
    <w:pPr>
      <w:spacing w:before="0" w:after="120"/>
      <w:ind w:left="1080"/>
      <w:contextualSpacing/>
    </w:pPr>
    <w:rPr/>
  </w:style>
  <w:style w:type="paragraph" w:styleId="ListContinue2">
    <w:name w:val="List Continue 2"/>
    <w:basedOn w:val="Normal"/>
    <w:pPr>
      <w:spacing w:before="0" w:after="120"/>
      <w:ind w:left="720"/>
      <w:contextualSpacing/>
    </w:pPr>
    <w:rPr/>
  </w:style>
  <w:style w:type="paragraph" w:styleId="ListContinue">
    <w:name w:val="List Continue"/>
    <w:basedOn w:val="Normal"/>
    <w:pPr>
      <w:spacing w:before="0" w:after="120"/>
      <w:ind w:left="360"/>
      <w:contextualSpacing/>
    </w:pPr>
    <w:rPr/>
  </w:style>
  <w:style w:type="paragraph" w:styleId="ListBullet3">
    <w:name w:val="List Bullet 3"/>
    <w:basedOn w:val="Normal"/>
    <w:pPr>
      <w:numPr>
        <w:ilvl w:val="0"/>
        <w:numId w:val="3"/>
      </w:numPr>
      <w:spacing w:before="0" w:after="200"/>
      <w:contextualSpacing/>
    </w:pPr>
    <w:rPr/>
  </w:style>
  <w:style w:type="paragraph" w:styleId="ListBullet2">
    <w:name w:val="List Bullet 2"/>
    <w:basedOn w:val="Normal"/>
    <w:pPr>
      <w:numPr>
        <w:ilvl w:val="0"/>
        <w:numId w:val="2"/>
      </w:numPr>
      <w:spacing w:before="0" w:after="200"/>
      <w:contextualSpacing/>
    </w:pPr>
    <w:rPr/>
  </w:style>
  <w:style w:type="paragraph" w:styleId="ListBullet">
    <w:name w:val="List Bullet"/>
    <w:basedOn w:val="Normal"/>
    <w:pPr>
      <w:numPr>
        <w:ilvl w:val="0"/>
        <w:numId w:val="1"/>
      </w:numPr>
      <w:spacing w:before="0" w:after="200"/>
      <w:contextualSpacing/>
    </w:pPr>
    <w:rPr/>
  </w:style>
  <w:style w:type="paragraph" w:styleId="List3">
    <w:name w:val="List 3"/>
    <w:basedOn w:val="Normal"/>
    <w:qFormat/>
    <w:pPr>
      <w:spacing w:before="0" w:after="200"/>
      <w:ind w:hanging="360" w:left="1080"/>
      <w:contextualSpacing/>
    </w:pPr>
    <w:rPr/>
  </w:style>
  <w:style w:type="paragraph" w:styleId="List2">
    <w:name w:val="List 2"/>
    <w:basedOn w:val="Normal"/>
    <w:qFormat/>
    <w:pPr>
      <w:spacing w:before="0" w:after="200"/>
      <w:ind w:hanging="360" w:left="720"/>
      <w:contextualSpacing/>
    </w:pPr>
    <w:rPr/>
  </w:style>
  <w:style w:type="paragraph" w:styleId="BodyText3">
    <w:name w:val="Body Text 3"/>
    <w:basedOn w:val="Normal"/>
    <w:qFormat/>
    <w:pPr>
      <w:spacing w:before="0" w:after="120"/>
    </w:pPr>
    <w:rPr>
      <w:sz w:val="16"/>
      <w:szCs w:val="16"/>
    </w:rPr>
  </w:style>
  <w:style w:type="paragraph" w:styleId="BodyText2">
    <w:name w:val="Body Text 2"/>
    <w:basedOn w:val="Normal"/>
    <w:qFormat/>
    <w:pPr>
      <w:spacing w:lineRule="auto" w:line="480" w:before="0" w:after="120"/>
    </w:pPr>
    <w:rPr/>
  </w:style>
  <w:style w:type="paragraph" w:styleId="FirstParagraph">
    <w:name w:val="First Paragraph"/>
    <w:basedOn w:val="BodyText"/>
    <w:next w:val="BodyText"/>
    <w:qFormat/>
    <w:pPr/>
    <w:rPr/>
  </w:style>
  <w:style w:type="paragraph" w:styleId="Compact">
    <w:name w:val="Compact"/>
    <w:basedOn w:val="BodyText"/>
    <w:qFormat/>
    <w:pPr>
      <w:spacing w:before="36" w:after="36"/>
    </w:pPr>
    <w:rPr/>
  </w:style>
  <w:style w:type="numbering" w:styleId="Bezseznamuuser" w:default="1">
    <w:name w:val="Bez seznamu (user)"/>
    <w:uiPriority w:val="99"/>
    <w:semiHidden/>
    <w:unhideWhenUsed/>
    <w:qFormat/>
  </w:style>
  <w:style w:type="numbering" w:styleId="Bezseznamu">
    <w:name w:val="Bez seznamu"/>
    <w:qFormat/>
  </w:style>
  <w:style w:type="table" w:default="1" w:styleId="Normlntabulka">
    <w:name w:val="Normal Table"/>
    <w:uiPriority w:val="99"/>
    <w:semiHidden/>
    <w:unhideWhenUsed/>
    <w:tblPr>
      <w:tblCellMar>
        <w:top w:w="0" w:type="dxa"/>
        <w:left w:w="108" w:type="dxa"/>
        <w:bottom w:w="0" w:type="dxa"/>
        <w:right w:w="108" w:type="dxa"/>
      </w:tblCellMar>
    </w:tblPr>
  </w:style>
  <w:style w:type="table" w:styleId="Mkatabulky">
    <w:name w:val="Table Grid"/>
    <w:basedOn w:val="Normlntabulka"/>
    <w:uiPriority w:val="39"/>
    <w:rsid w:val="008d486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Motiv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42</TotalTime>
  <Application>LibreOffice/26.2.5.2$Windows_X86_64 LibreOffice_project/cd7284b4cbbfeb507e630c1aac019f4157393acb</Application>
  <AppVersion>15.0000</AppVersion>
  <Pages>16</Pages>
  <Words>3572</Words>
  <Characters>21776</Characters>
  <CharactersWithSpaces>24843</CharactersWithSpaces>
  <Paragraphs>418</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2026-08-04T08:45:00Z</dcterms:created>
  <dc:creator>reditelna</dc:creator>
  <dc:description/>
  <dc:language>cs-CZ</dc:language>
  <cp:lastModifiedBy/>
  <cp:lastPrinted>2026-09-16T11:54:39Z</cp:lastPrinted>
  <dcterms:modified xsi:type="dcterms:W3CDTF">2026-09-16T11:56:09Z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