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Základní škola a Mateřská škola Nemojany</w:t>
      </w:r>
      <w:r>
        <w:rPr>
          <w:sz w:val="28"/>
          <w:szCs w:val="28"/>
        </w:rPr>
        <w:t xml:space="preserve">, </w:t>
      </w:r>
    </w:p>
    <w:p>
      <w:pPr>
        <w:pStyle w:val="NoSpacing"/>
        <w:jc w:val="center"/>
        <w:rPr/>
      </w:pPr>
      <w:r>
        <w:rPr/>
        <w:t>okres Vyškov,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příspěvková organizace, Nemojany 113, 683 03 Luleč</w:t>
      </w:r>
    </w:p>
    <w:p>
      <w:pPr>
        <w:pStyle w:val="NoSpacing"/>
        <w:pBdr>
          <w:bottom w:val="single" w:sz="12" w:space="1" w:color="000000"/>
        </w:pBdr>
        <w:jc w:val="center"/>
        <w:rPr/>
      </w:pPr>
      <w:r>
        <w:rPr/>
        <w:t>IČO 70 989 842</w:t>
      </w:r>
    </w:p>
    <w:p>
      <w:pPr>
        <w:pStyle w:val="NoSpacing"/>
        <w:pBdr>
          <w:bottom w:val="single" w:sz="12" w:space="1" w:color="000000"/>
        </w:pBdr>
        <w:jc w:val="center"/>
        <w:rPr>
          <w:rFonts w:ascii="Calibri" w:hAnsi="Calibri"/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</w:r>
    </w:p>
    <w:p>
      <w:pPr>
        <w:pStyle w:val="Normal"/>
        <w:jc w:val="center"/>
        <w:rPr>
          <w:b/>
          <w:sz w:val="40"/>
        </w:rPr>
      </w:pPr>
      <w:r>
        <w:rPr>
          <w:b/>
          <w:sz w:val="40"/>
        </w:rPr>
        <w:t>PŘÍLOHA Č. 1 KE ŠKOLNÍMU ŘÁDU ZŠ</w:t>
      </w:r>
    </w:p>
    <w:p>
      <w:pPr>
        <w:pStyle w:val="Normal"/>
        <w:jc w:val="center"/>
        <w:rPr>
          <w:i/>
          <w:sz w:val="24"/>
        </w:rPr>
      </w:pPr>
      <w:r>
        <w:rPr>
          <w:i/>
          <w:sz w:val="24"/>
        </w:rPr>
        <w:t>Pravidla pro hodnocení výsledků vzdělávání žáků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Směrnice / příloha č. 1 ke Školnímu řádu ZŠ</w:t>
      </w:r>
    </w:p>
    <w:p>
      <w:pPr>
        <w:pStyle w:val="Normal"/>
        <w:jc w:val="center"/>
        <w:rPr>
          <w:lang w:val="cs-CZ"/>
        </w:rPr>
      </w:pPr>
      <w:r>
        <w:rPr/>
        <w:t>Účinná od:</w:t>
      </w:r>
      <w:r>
        <w:rPr>
          <w:lang w:val="cs-CZ"/>
        </w:rPr>
        <w:t xml:space="preserve">1. 9. 2026 </w:t>
      </w:r>
    </w:p>
    <w:p>
      <w:pPr>
        <w:pStyle w:val="Normal"/>
        <w:jc w:val="center"/>
        <w:rPr/>
      </w:pPr>
      <w:r>
        <w:rPr/>
        <w:t xml:space="preserve">Ředitelka školy: </w:t>
      </w:r>
      <w:r>
        <w:rPr>
          <w:lang w:val="cs-CZ"/>
        </w:rPr>
        <w:t xml:space="preserve">Mgr. </w:t>
      </w:r>
      <w:r>
        <w:rPr/>
        <w:t>Zdeňka Vanderková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80"/>
        <w:rPr/>
      </w:pPr>
      <w:r>
        <w:rPr/>
        <w:t>Tato pravidla jsou součástí Školního řádu ZŠ a stanovují zásady, postupy a kritéria pro hodnocení průběhu a výsledků vzdělávání žáků a pro hodnocení jejich chování.</w:t>
      </w:r>
    </w:p>
    <w:p>
      <w:pPr>
        <w:pStyle w:val="Normal"/>
        <w:spacing w:before="0" w:after="80"/>
        <w:rPr/>
      </w:pPr>
      <w:r>
        <w:rPr/>
        <w:t>Zpracováno s ohledem na aktuální právní rámec základního vzdělávání a na dosavadní dokumentaci školy. Při použití se vždy uplatní právní předpisy účinné v době hodnocení.</w:t>
      </w:r>
    </w:p>
    <w:p>
      <w:pPr>
        <w:pStyle w:val="Heading1"/>
        <w:numPr>
          <w:ilvl w:val="0"/>
          <w:numId w:val="1"/>
        </w:numPr>
        <w:rPr/>
      </w:pPr>
      <w:r>
        <w:rPr/>
        <w:t>Čl. 1  Obecná ustanovení</w:t>
      </w:r>
    </w:p>
    <w:p>
      <w:pPr>
        <w:pStyle w:val="ListNumber"/>
        <w:numPr>
          <w:ilvl w:val="0"/>
          <w:numId w:val="5"/>
        </w:numPr>
        <w:rPr/>
      </w:pPr>
      <w:r>
        <w:rPr/>
        <w:t>Hodnocení je součástí vzdělávacího procesu. Jeho smyslem je poskytovat žákovi srozumitelnou zpětnou vazbu, podporovat jeho učení, motivaci, odpovědnost a další rozvoj.</w:t>
      </w:r>
    </w:p>
    <w:p>
      <w:pPr>
        <w:pStyle w:val="ListNumber"/>
        <w:numPr>
          <w:ilvl w:val="0"/>
          <w:numId w:val="5"/>
        </w:numPr>
        <w:rPr/>
      </w:pPr>
      <w:r>
        <w:rPr/>
        <w:t>Hodnocení musí být pedagogicky odůvodněné, odborně správné, doložitelné, srozumitelné a přiměřené věku a individuálním vzdělávacím potřebám žáka.</w:t>
      </w:r>
    </w:p>
    <w:p>
      <w:pPr>
        <w:pStyle w:val="ListNumber"/>
        <w:numPr>
          <w:ilvl w:val="0"/>
          <w:numId w:val="5"/>
        </w:numPr>
        <w:rPr/>
      </w:pPr>
      <w:r>
        <w:rPr/>
        <w:t>Hodnocení se vztahuje k očekávaným výsledkům vzdělávání a k učivu, které bylo skutečně vyučováno a procvičeno.</w:t>
      </w:r>
    </w:p>
    <w:p>
      <w:pPr>
        <w:pStyle w:val="ListNumber"/>
        <w:numPr>
          <w:ilvl w:val="0"/>
          <w:numId w:val="5"/>
        </w:numPr>
        <w:rPr/>
      </w:pPr>
      <w:r>
        <w:rPr/>
        <w:t>Do hodnocení vzdělávacích výsledků se nepromítá chování žáka. Chování se hodnotí samostatně.</w:t>
      </w:r>
    </w:p>
    <w:p>
      <w:pPr>
        <w:pStyle w:val="ListNumber"/>
        <w:numPr>
          <w:ilvl w:val="0"/>
          <w:numId w:val="5"/>
        </w:numPr>
        <w:rPr/>
      </w:pPr>
      <w:r>
        <w:rPr/>
        <w:t>Pravidla platí pro hodnocení ve vyučování, při projektové a praktické práci, při akcích pořádaných školou a při vzdělávání distančním způsobem.</w:t>
      </w:r>
    </w:p>
    <w:p>
      <w:pPr>
        <w:pStyle w:val="Heading1"/>
        <w:numPr>
          <w:ilvl w:val="0"/>
          <w:numId w:val="1"/>
        </w:numPr>
        <w:rPr/>
      </w:pPr>
      <w:r>
        <w:rPr/>
        <w:t>Čl. 2  Zásady hodnocení</w:t>
      </w:r>
    </w:p>
    <w:p>
      <w:pPr>
        <w:pStyle w:val="ListBullet"/>
        <w:numPr>
          <w:ilvl w:val="0"/>
          <w:numId w:val="2"/>
        </w:numPr>
        <w:rPr/>
      </w:pPr>
      <w:r>
        <w:rPr/>
        <w:t>učitel hodnotí průběžně a využívá více různých podkladů;</w:t>
      </w:r>
    </w:p>
    <w:p>
      <w:pPr>
        <w:pStyle w:val="ListBullet"/>
        <w:numPr>
          <w:ilvl w:val="0"/>
          <w:numId w:val="2"/>
        </w:numPr>
        <w:rPr/>
      </w:pPr>
      <w:r>
        <w:rPr/>
        <w:t>žák zná přiměřeně předem kritéria a účel hodnocení;</w:t>
      </w:r>
    </w:p>
    <w:p>
      <w:pPr>
        <w:pStyle w:val="ListBullet"/>
        <w:numPr>
          <w:ilvl w:val="0"/>
          <w:numId w:val="2"/>
        </w:numPr>
        <w:rPr/>
      </w:pPr>
      <w:r>
        <w:rPr/>
        <w:t>hodnocení zohledňuje individuální vzdělávací potřeby a doporučení školského poradenského zařízení;</w:t>
      </w:r>
    </w:p>
    <w:p>
      <w:pPr>
        <w:pStyle w:val="ListBullet"/>
        <w:numPr>
          <w:ilvl w:val="0"/>
          <w:numId w:val="2"/>
        </w:numPr>
        <w:rPr/>
      </w:pPr>
      <w:r>
        <w:rPr/>
        <w:t>hodnocení sleduje nejen výsledek, ale podle charakteru úkolu také postup, samostatnost, schopnost využít poznatky, komunikaci, práci s informacemi a řešení problémů;</w:t>
      </w:r>
    </w:p>
    <w:p>
      <w:pPr>
        <w:pStyle w:val="ListBullet"/>
        <w:numPr>
          <w:ilvl w:val="0"/>
          <w:numId w:val="2"/>
        </w:numPr>
        <w:rPr/>
      </w:pPr>
      <w:r>
        <w:rPr/>
        <w:t>chyba je využívána jako příležitost k učení a opravě;</w:t>
      </w:r>
    </w:p>
    <w:p>
      <w:pPr>
        <w:pStyle w:val="ListBullet"/>
        <w:numPr>
          <w:ilvl w:val="0"/>
          <w:numId w:val="2"/>
        </w:numPr>
        <w:rPr/>
      </w:pPr>
      <w:r>
        <w:rPr/>
        <w:t>hodnocení má být přiměřené věku, náročnosti úkolu a podmínkám, za nichž žák pracoval;</w:t>
      </w:r>
    </w:p>
    <w:p>
      <w:pPr>
        <w:pStyle w:val="ListBullet"/>
        <w:numPr>
          <w:ilvl w:val="0"/>
          <w:numId w:val="2"/>
        </w:numPr>
        <w:rPr/>
      </w:pPr>
      <w:r>
        <w:rPr/>
        <w:t>učitel chrání důstojnost žáka a sděluje hodnocení tak, aby podporovalo další učení.</w:t>
      </w:r>
    </w:p>
    <w:p>
      <w:pPr>
        <w:pStyle w:val="Heading1"/>
        <w:numPr>
          <w:ilvl w:val="0"/>
          <w:numId w:val="1"/>
        </w:numPr>
        <w:rPr/>
      </w:pPr>
      <w:r>
        <w:rPr/>
        <w:t>Čl. 3  Způsoby hodnocení</w:t>
      </w:r>
    </w:p>
    <w:p>
      <w:pPr>
        <w:pStyle w:val="Normal"/>
        <w:spacing w:before="0" w:after="80"/>
        <w:rPr/>
      </w:pPr>
      <w:r>
        <w:rPr/>
        <w:t>Škola používá zejména klasifikaci stupni prospěchu, slovní zpětnou vazbu, formativní hodnocení, sebehodnocení a vzájemné hodnocení. Na vysvědčení se postupuje způsobem stanoveným právními předpisy a rozhodnutím školy.</w:t>
      </w:r>
    </w:p>
    <w:tbl>
      <w:tblPr>
        <w:tblW w:w="96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4"/>
        <w:gridCol w:w="4844"/>
      </w:tblGrid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Forma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Příklad využití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Klasifikace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průběžné a závěrečné hodnocení výsledků vzdělávání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Slovní zpětná vazba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komentář k úspěchu, chybě a dalšímu postupu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Formativní hodnocení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průběžná zpětná vazba během učení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Sebehodnocení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reflexe vlastního učení a stanovení dalšího cíle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Vzájemné hodnocení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hodnocení práce spolužáka podle známých kritérií</w:t>
            </w:r>
          </w:p>
        </w:tc>
      </w:tr>
      <w:tr>
        <w:trPr/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Portfolio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soubor vybraných prací dokumentující vývoj žáka</w:t>
            </w:r>
          </w:p>
        </w:tc>
      </w:tr>
    </w:tbl>
    <w:p>
      <w:pPr>
        <w:pStyle w:val="Heading1"/>
        <w:numPr>
          <w:ilvl w:val="0"/>
          <w:numId w:val="1"/>
        </w:numPr>
        <w:rPr/>
      </w:pPr>
      <w:r>
        <w:rPr/>
        <w:t>Čl. 4  Podklady pro hodnocení</w:t>
      </w:r>
    </w:p>
    <w:p>
      <w:pPr>
        <w:pStyle w:val="ListBullet"/>
        <w:numPr>
          <w:ilvl w:val="0"/>
          <w:numId w:val="2"/>
        </w:numPr>
        <w:rPr/>
      </w:pPr>
      <w:r>
        <w:rPr/>
        <w:t>ústní projev a ústní ověřování znalostí a dovedností;</w:t>
      </w:r>
    </w:p>
    <w:p>
      <w:pPr>
        <w:pStyle w:val="ListBullet"/>
        <w:numPr>
          <w:ilvl w:val="0"/>
          <w:numId w:val="2"/>
        </w:numPr>
        <w:rPr/>
      </w:pPr>
      <w:r>
        <w:rPr/>
        <w:t>písemné práce, testy, diktáty a další písemné výstupy;</w:t>
      </w:r>
    </w:p>
    <w:p>
      <w:pPr>
        <w:pStyle w:val="ListBullet"/>
        <w:numPr>
          <w:ilvl w:val="0"/>
          <w:numId w:val="2"/>
        </w:numPr>
        <w:rPr/>
      </w:pPr>
      <w:r>
        <w:rPr/>
        <w:t>praktické, pohybové, výtvarné, hudební a pracovní činnosti;</w:t>
      </w:r>
    </w:p>
    <w:p>
      <w:pPr>
        <w:pStyle w:val="ListBullet"/>
        <w:numPr>
          <w:ilvl w:val="0"/>
          <w:numId w:val="2"/>
        </w:numPr>
        <w:rPr/>
      </w:pPr>
      <w:r>
        <w:rPr/>
        <w:t>projekty, prezentace a samostatné práce;</w:t>
      </w:r>
    </w:p>
    <w:p>
      <w:pPr>
        <w:pStyle w:val="ListBullet"/>
        <w:numPr>
          <w:ilvl w:val="0"/>
          <w:numId w:val="2"/>
        </w:numPr>
        <w:rPr/>
      </w:pPr>
      <w:r>
        <w:rPr/>
        <w:t>řešení problémových a aplikačních úloh;</w:t>
      </w:r>
    </w:p>
    <w:p>
      <w:pPr>
        <w:pStyle w:val="ListBullet"/>
        <w:numPr>
          <w:ilvl w:val="0"/>
          <w:numId w:val="2"/>
        </w:numPr>
        <w:rPr/>
      </w:pPr>
      <w:r>
        <w:rPr/>
        <w:t>práce ve dvojici a ve skupině, pokud je možné individuální podíl žáka spolehlivě posoudit;</w:t>
      </w:r>
    </w:p>
    <w:p>
      <w:pPr>
        <w:pStyle w:val="ListBullet"/>
        <w:numPr>
          <w:ilvl w:val="0"/>
          <w:numId w:val="2"/>
        </w:numPr>
        <w:rPr/>
      </w:pPr>
      <w:r>
        <w:rPr/>
        <w:t>portfolio a dlouhodobější práce;</w:t>
      </w:r>
    </w:p>
    <w:p>
      <w:pPr>
        <w:pStyle w:val="ListBullet"/>
        <w:numPr>
          <w:ilvl w:val="0"/>
          <w:numId w:val="2"/>
        </w:numPr>
        <w:rPr/>
      </w:pPr>
      <w:r>
        <w:rPr/>
        <w:t>sebehodnocení a reflexe žáka jako doplňující podklad;</w:t>
      </w:r>
    </w:p>
    <w:p>
      <w:pPr>
        <w:pStyle w:val="ListBullet"/>
        <w:numPr>
          <w:ilvl w:val="0"/>
          <w:numId w:val="2"/>
        </w:numPr>
        <w:rPr/>
      </w:pPr>
      <w:r>
        <w:rPr/>
        <w:t>výsledky práce při distančním vzdělávání, pokud tato forma probíhá.</w:t>
      </w:r>
    </w:p>
    <w:p>
      <w:pPr>
        <w:pStyle w:val="Normal"/>
        <w:spacing w:before="0" w:after="80"/>
        <w:rPr/>
      </w:pPr>
      <w:r>
        <w:rPr/>
        <w:t>Výsledná známka není mechanickým aritmetickým průměrem jednotlivých známek. Učitel posuzuje souhrn podkladů, jejich význam, aktuálnost a vypovídací hodnotu ve vztahu k očekávaným výsledkům vzdělávání.</w:t>
      </w:r>
    </w:p>
    <w:p>
      <w:pPr>
        <w:pStyle w:val="Heading1"/>
        <w:numPr>
          <w:ilvl w:val="0"/>
          <w:numId w:val="1"/>
        </w:numPr>
        <w:rPr/>
      </w:pPr>
      <w:r>
        <w:rPr/>
        <w:t>Čl. 5  Stupně prospěchu</w:t>
      </w:r>
    </w:p>
    <w:tbl>
      <w:tblPr>
        <w:tblW w:w="96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30"/>
        <w:gridCol w:w="3231"/>
      </w:tblGrid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Stupeň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Označení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Obecná charakteristika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výborný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Žák dosahuje požadovaných výsledků ve vysoké kvalitě, pracuje převážně samostatně a dokáže získané poznatky vhodně používat.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chvalitebný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Žák dosahuje požadovaných výsledků s menšími nedostatky, které zpravidla dokáže sám nebo s menší podporou odstranit.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3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dobrý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Žák dosahuje základních požadovaných výsledků, ale dopouští se častějších chyb a při náročnějších úkolech potřebuje podporu.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dostatečný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Žák dosahuje požadovaných výsledků pouze částečně, má podstatné nedostatky a při práci potřebuje výraznou podporu.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5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nedostatečný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Žák nesplňuje požadované výsledky v potřebném rozsahu a své znalosti a dovednosti nedokáže dostatečně uplatnit ani s podporou.</w:t>
            </w:r>
          </w:p>
        </w:tc>
      </w:tr>
    </w:tbl>
    <w:p>
      <w:pPr>
        <w:pStyle w:val="Heading1"/>
        <w:numPr>
          <w:ilvl w:val="0"/>
          <w:numId w:val="1"/>
        </w:numPr>
        <w:rPr/>
      </w:pPr>
      <w:r>
        <w:rPr/>
        <w:t>Čl. 6  Hodnocení chování</w:t>
      </w:r>
    </w:p>
    <w:p>
      <w:pPr>
        <w:pStyle w:val="Normal"/>
        <w:spacing w:before="0" w:after="80"/>
        <w:rPr/>
      </w:pPr>
      <w:r>
        <w:rPr/>
        <w:t>Chování žáka se hodnotí samostatně. Přihlíží se zejména k dodržování školního řádu, bezpečnému a ohleduplnému jednání, respektu k ostatním, odpovědnosti a případné neomluvené absenci. Vždy se zohlední věk, vyspělost a individuální vzdělávací potřeby žáka.</w:t>
      </w:r>
    </w:p>
    <w:tbl>
      <w:tblPr>
        <w:tblW w:w="96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30"/>
        <w:gridCol w:w="3231"/>
      </w:tblGrid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Stupeň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Označení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b/>
                <w:kern w:val="0"/>
              </w:rPr>
              <w:t>Charakteristika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velmi dobré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Žák zpravidla dodržuje pravidla, respektuje ostatní a případná pochybení jsou ojedinělá a napravuje je.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uspokojivé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Chování žáka je závažněji nebo opakovaně v rozporu s pravidly; náprava vyžaduje zvýšené výchovné působení.</w:t>
            </w:r>
          </w:p>
        </w:tc>
      </w:tr>
      <w:tr>
        <w:trPr/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3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neuspokojivé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</w:rPr>
            </w:pPr>
            <w:r>
              <w:rPr>
                <w:kern w:val="0"/>
              </w:rPr>
              <w:t>Chování je v závažném nebo opakovaném rozporu s pravidly a významně narušuje bezpečné či řádné fungování školy.</w:t>
            </w:r>
          </w:p>
        </w:tc>
      </w:tr>
    </w:tbl>
    <w:p>
      <w:pPr>
        <w:pStyle w:val="Heading1"/>
        <w:numPr>
          <w:ilvl w:val="0"/>
          <w:numId w:val="1"/>
        </w:numPr>
        <w:rPr/>
      </w:pPr>
      <w:r>
        <w:rPr/>
        <w:t>Čl. 7  Sebehodnocení</w:t>
      </w:r>
    </w:p>
    <w:p>
      <w:pPr>
        <w:pStyle w:val="ListBullet"/>
        <w:numPr>
          <w:ilvl w:val="0"/>
          <w:numId w:val="2"/>
        </w:numPr>
        <w:rPr/>
      </w:pPr>
      <w:r>
        <w:rPr/>
        <w:t>žák se učí pojmenovat, co se mu daří a co potřebuje zlepšit;</w:t>
      </w:r>
    </w:p>
    <w:p>
      <w:pPr>
        <w:pStyle w:val="ListBullet"/>
        <w:numPr>
          <w:ilvl w:val="0"/>
          <w:numId w:val="2"/>
        </w:numPr>
        <w:rPr/>
      </w:pPr>
      <w:r>
        <w:rPr/>
        <w:t>pracuje s předem známými a věku přiměřenými kritérii;</w:t>
      </w:r>
    </w:p>
    <w:p>
      <w:pPr>
        <w:pStyle w:val="ListBullet"/>
        <w:numPr>
          <w:ilvl w:val="0"/>
          <w:numId w:val="2"/>
        </w:numPr>
        <w:rPr/>
      </w:pPr>
      <w:r>
        <w:rPr/>
        <w:t>formuluje další krok nebo cíl svého učení;</w:t>
      </w:r>
    </w:p>
    <w:p>
      <w:pPr>
        <w:pStyle w:val="ListBullet"/>
        <w:numPr>
          <w:ilvl w:val="0"/>
          <w:numId w:val="2"/>
        </w:numPr>
        <w:rPr/>
      </w:pPr>
      <w:r>
        <w:rPr/>
        <w:t>sebehodnocení může probíhat ústně, písemně, graficky, v portfoliu nebo při třídnické práci;</w:t>
      </w:r>
    </w:p>
    <w:p>
      <w:pPr>
        <w:pStyle w:val="ListBullet"/>
        <w:numPr>
          <w:ilvl w:val="0"/>
          <w:numId w:val="2"/>
        </w:numPr>
        <w:rPr/>
      </w:pPr>
      <w:r>
        <w:rPr/>
        <w:t>sebehodnocení není samo o sobě jediným podkladem pro závěrečnou klasifikaci.</w:t>
      </w:r>
    </w:p>
    <w:p>
      <w:pPr>
        <w:pStyle w:val="Heading1"/>
        <w:numPr>
          <w:ilvl w:val="0"/>
          <w:numId w:val="1"/>
        </w:numPr>
        <w:rPr/>
      </w:pPr>
      <w:r>
        <w:rPr/>
        <w:t>Čl. 8  Hodnocení žáků se speciálními vzdělávacími potřebami a žáků nadaných</w:t>
      </w:r>
    </w:p>
    <w:p>
      <w:pPr>
        <w:pStyle w:val="Normal"/>
        <w:spacing w:before="0" w:after="80"/>
        <w:rPr/>
      </w:pPr>
      <w:r>
        <w:rPr/>
        <w:t>Při hodnocení se postupuje v souladu s právními předpisy a s podpůrnými opatřeními a doporučeními školského poradenského zařízení. U žáků se zohledňují jejich vzdělávací potřeby, stanovené cíle podpory, možnosti a podmínky vzdělávání. U nadaných a mimořádně nadaných žáků lze přiměřeně rozšiřovat a diferencovat úkoly.</w:t>
      </w:r>
    </w:p>
    <w:p>
      <w:pPr>
        <w:pStyle w:val="Heading1"/>
        <w:numPr>
          <w:ilvl w:val="0"/>
          <w:numId w:val="1"/>
        </w:numPr>
        <w:rPr/>
      </w:pPr>
      <w:r>
        <w:rPr/>
        <w:t>Čl. 9  Hodnocení žáků s odlišným mateřským jazykem</w:t>
      </w:r>
    </w:p>
    <w:p>
      <w:pPr>
        <w:pStyle w:val="Normal"/>
        <w:spacing w:before="0" w:after="80"/>
        <w:rPr/>
      </w:pPr>
      <w:r>
        <w:rPr/>
        <w:t>Při hodnocení žáků s odlišným mateřským jazykem škola zohledňuje jejich dosaženou úroveň znalosti českého jazyka a podmínky, za nichž vzdělávání probíhá, v rozsahu stanoveném právními předpisy.</w:t>
      </w:r>
    </w:p>
    <w:p>
      <w:pPr>
        <w:pStyle w:val="Heading1"/>
        <w:numPr>
          <w:ilvl w:val="0"/>
          <w:numId w:val="1"/>
        </w:numPr>
        <w:rPr/>
      </w:pPr>
      <w:r>
        <w:rPr/>
        <w:t>Čl. 10  Hodnocení při distančním vzdělávání</w:t>
      </w:r>
    </w:p>
    <w:p>
      <w:pPr>
        <w:pStyle w:val="ListBullet"/>
        <w:numPr>
          <w:ilvl w:val="0"/>
          <w:numId w:val="2"/>
        </w:numPr>
        <w:rPr/>
      </w:pPr>
      <w:r>
        <w:rPr/>
        <w:t>hodnocení se přizpůsobuje podmínkám žáka a technickým a organizačním možnostem školy;</w:t>
      </w:r>
    </w:p>
    <w:p>
      <w:pPr>
        <w:pStyle w:val="ListBullet"/>
        <w:numPr>
          <w:ilvl w:val="0"/>
          <w:numId w:val="2"/>
        </w:numPr>
        <w:rPr/>
      </w:pPr>
      <w:r>
        <w:rPr/>
        <w:t>využívá se zejména průběžná zpětná vazba, samostatná práce, odevzdané výstupy, online nebo jiná ověřování a sebehodnocení;</w:t>
      </w:r>
    </w:p>
    <w:p>
      <w:pPr>
        <w:pStyle w:val="ListBullet"/>
        <w:numPr>
          <w:ilvl w:val="0"/>
          <w:numId w:val="2"/>
        </w:numPr>
        <w:rPr/>
      </w:pPr>
      <w:r>
        <w:rPr/>
        <w:t>škola přihlíží k možnostem žáka a neposuzuje technické obtíže jako nedostatek ve znalostech;</w:t>
      </w:r>
    </w:p>
    <w:p>
      <w:pPr>
        <w:pStyle w:val="ListBullet"/>
        <w:numPr>
          <w:ilvl w:val="0"/>
          <w:numId w:val="2"/>
        </w:numPr>
        <w:rPr/>
      </w:pPr>
      <w:r>
        <w:rPr/>
        <w:t>konkrétní způsob hodnocení může být upraven podle charakteru mimořádné situace.</w:t>
      </w:r>
    </w:p>
    <w:p>
      <w:pPr>
        <w:pStyle w:val="Heading1"/>
        <w:numPr>
          <w:ilvl w:val="0"/>
          <w:numId w:val="1"/>
        </w:numPr>
        <w:rPr/>
      </w:pPr>
      <w:r>
        <w:rPr/>
        <w:t>Čl. 11  Komisionální a opravné zkoušky</w:t>
      </w:r>
    </w:p>
    <w:p>
      <w:pPr>
        <w:pStyle w:val="Normal"/>
        <w:spacing w:before="0" w:after="80"/>
        <w:rPr/>
      </w:pPr>
      <w:r>
        <w:rPr/>
        <w:t>Komisionální a opravné zkoušky se konají v případech a za podmínek stanovených školským zákonem a vyhláškou o základním vzdělávání. Podrobnosti organizace, termínu, složení komise a průběhu zkoušky se řídí právními předpisy.</w:t>
      </w:r>
    </w:p>
    <w:p>
      <w:pPr>
        <w:pStyle w:val="Heading1"/>
        <w:numPr>
          <w:ilvl w:val="0"/>
          <w:numId w:val="1"/>
        </w:numPr>
        <w:rPr/>
      </w:pPr>
      <w:r>
        <w:rPr/>
        <w:t>Čl. 12  Informování zákonných zástupců</w:t>
      </w:r>
    </w:p>
    <w:p>
      <w:pPr>
        <w:pStyle w:val="ListBullet"/>
        <w:numPr>
          <w:ilvl w:val="0"/>
          <w:numId w:val="2"/>
        </w:numPr>
        <w:rPr/>
      </w:pPr>
      <w:r>
        <w:rPr/>
        <w:t>zákonní zástupci jsou o průběžném hodnocení informováni způsobem používaným školou;</w:t>
      </w:r>
    </w:p>
    <w:p>
      <w:pPr>
        <w:pStyle w:val="ListBullet"/>
        <w:numPr>
          <w:ilvl w:val="0"/>
          <w:numId w:val="2"/>
        </w:numPr>
        <w:rPr/>
      </w:pPr>
      <w:r>
        <w:rPr/>
        <w:t>při výrazném zhoršení prospěchu škola informuje zákonné zástupce bez zbytečného odkladu;</w:t>
      </w:r>
    </w:p>
    <w:p>
      <w:pPr>
        <w:pStyle w:val="ListBullet"/>
        <w:numPr>
          <w:ilvl w:val="0"/>
          <w:numId w:val="2"/>
        </w:numPr>
        <w:rPr/>
      </w:pPr>
      <w:r>
        <w:rPr/>
        <w:t>na vyžádání škola poskytne zákonnému zástupci informace o hodnocení a kritériích použitých v daném předmětu;</w:t>
      </w:r>
    </w:p>
    <w:p>
      <w:pPr>
        <w:pStyle w:val="ListBullet"/>
        <w:numPr>
          <w:ilvl w:val="0"/>
          <w:numId w:val="2"/>
        </w:numPr>
        <w:rPr/>
      </w:pPr>
      <w:r>
        <w:rPr/>
        <w:t>údaje o prospěchu a chování jsou sdělovány způsobem chránícím soukromí žáka.</w:t>
      </w:r>
    </w:p>
    <w:p>
      <w:pPr>
        <w:pStyle w:val="Heading1"/>
        <w:numPr>
          <w:ilvl w:val="0"/>
          <w:numId w:val="1"/>
        </w:numPr>
        <w:rPr/>
      </w:pPr>
      <w:r>
        <w:rPr/>
        <w:t>Čl. 13  Závěrečná ustanovení</w:t>
      </w:r>
    </w:p>
    <w:p>
      <w:pPr>
        <w:pStyle w:val="Normal"/>
        <w:spacing w:before="0" w:after="80"/>
        <w:rPr/>
      </w:pPr>
      <w:r>
        <w:rPr/>
        <w:t>Tato příloha je součástí Školního řádu ZŠ. Podrobnější kritéria, metody a formy hodnocení jsou uvedeny v Příloze č. 1A. Při rozporu mezi tímto dokumentem a právním předpisem se použije právní předpis.</w:t>
      </w:r>
    </w:p>
    <w:p>
      <w:pPr>
        <w:pStyle w:val="Normal"/>
        <w:spacing w:before="0" w:after="80"/>
        <w:rPr>
          <w:lang w:val="cs-CZ"/>
        </w:rPr>
      </w:pPr>
      <w:r>
        <w:rPr>
          <w:lang w:val="cs-CZ"/>
        </w:rPr>
      </w:r>
    </w:p>
    <w:p>
      <w:pPr>
        <w:pStyle w:val="Normal"/>
        <w:spacing w:before="0" w:after="80"/>
        <w:rPr>
          <w:lang w:val="cs-CZ"/>
        </w:rPr>
      </w:pPr>
      <w:r>
        <w:rPr>
          <w:lang w:val="cs-CZ"/>
        </w:rPr>
      </w:r>
    </w:p>
    <w:p>
      <w:pPr>
        <w:pStyle w:val="Normal"/>
        <w:spacing w:before="0" w:after="80"/>
        <w:rPr>
          <w:lang w:val="cs-CZ"/>
        </w:rPr>
      </w:pPr>
      <w:r>
        <w:rPr/>
        <w:t>V Nemojanech dn</w:t>
      </w:r>
      <w:r>
        <w:rPr/>
        <w:t>e</w:t>
      </w:r>
      <w:r>
        <w:rPr>
          <w:lang w:val="cs-CZ"/>
        </w:rPr>
        <w:t xml:space="preserve"> 1. 9. 2026</w:t>
      </w:r>
    </w:p>
    <w:p>
      <w:pPr>
        <w:pStyle w:val="Normal"/>
        <w:spacing w:before="0" w:after="80"/>
        <w:rPr>
          <w:b/>
          <w:bCs/>
          <w:lang w:val="cs-CZ"/>
        </w:rPr>
      </w:pPr>
      <w:r>
        <w:rPr>
          <w:b/>
          <w:bCs/>
          <w:lang w:val="cs-CZ"/>
        </w:rPr>
      </w:r>
    </w:p>
    <w:p>
      <w:pPr>
        <w:pStyle w:val="Normal"/>
        <w:rPr>
          <w:rFonts w:ascii="Calibri" w:hAnsi="Calibri"/>
          <w:b/>
          <w:bCs/>
          <w:i w:val="false"/>
          <w:iCs w:val="false"/>
          <w:sz w:val="32"/>
          <w:szCs w:val="32"/>
        </w:rPr>
      </w:pPr>
      <w:r>
        <w:rPr>
          <w:b/>
          <w:bCs/>
          <w:lang w:val="cs-CZ"/>
        </w:rPr>
        <w:t xml:space="preserve">Mgr. </w:t>
      </w:r>
      <w:bookmarkStart w:id="1" w:name="_GoBack_kopie_1"/>
      <w:bookmarkEnd w:id="1"/>
      <w:r>
        <w:rPr>
          <w:b/>
          <w:bCs/>
        </w:rPr>
        <w:t>Zdeňka Vanderková, ředitelka školy</w:t>
      </w:r>
      <w:r>
        <w:rPr/>
        <w:t xml:space="preserve">                       </w:t>
      </w:r>
    </w:p>
    <w:p>
      <w:pPr>
        <w:pStyle w:val="Normal"/>
        <w:jc w:val="center"/>
        <w:rPr>
          <w:b/>
          <w:sz w:val="30"/>
          <w:lang w:val="cs-CZ"/>
        </w:rPr>
      </w:pPr>
      <w:r>
        <w:rPr>
          <w:b/>
          <w:sz w:val="30"/>
          <w:lang w:val="cs-CZ"/>
        </w:rPr>
      </w:r>
      <w:r>
        <w:br w:type="page"/>
      </w:r>
    </w:p>
    <w:p>
      <w:pPr>
        <w:pStyle w:val="Heading1"/>
        <w:numPr>
          <w:ilvl w:val="0"/>
          <w:numId w:val="2"/>
        </w:numPr>
        <w:spacing w:before="0" w:after="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ptos Display">
    <w:charset w:val="ee"/>
    <w:family w:val="roman"/>
    <w:pitch w:val="variable"/>
  </w:font>
  <w:font w:name="Segoe UI">
    <w:charset w:val="ee"/>
    <w:family w:val="swiss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2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  <w:bookmarkEnd w:id="2"/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161258675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bookmarkStart w:id="3" w:name="PageNumWizard_FOOTER_Výchozí_styl_stránk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  <w:bookmarkEnd w:id="3"/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7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7" behindDoc="1" locked="0" layoutInCell="0" allowOverlap="1">
          <wp:simplePos x="0" y="0"/>
          <wp:positionH relativeFrom="margin">
            <wp:posOffset>5752465</wp:posOffset>
          </wp:positionH>
          <wp:positionV relativeFrom="margin">
            <wp:posOffset>-686435</wp:posOffset>
          </wp:positionV>
          <wp:extent cx="526415" cy="472440"/>
          <wp:effectExtent l="0" t="0" r="0" b="0"/>
          <wp:wrapSquare wrapText="bothSides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47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360" w:after="80"/>
      <w:outlineLvl w:val="0"/>
    </w:pPr>
    <w:rPr>
      <w:rFonts w:ascii="Aptos Display" w:hAnsi="Aptos Display" w:eastAsia="Calibri" w:cs="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160" w:after="80"/>
      <w:outlineLvl w:val="1"/>
    </w:pPr>
    <w:rPr>
      <w:rFonts w:ascii="Aptos Display" w:hAnsi="Aptos Display" w:eastAsia="Calibri" w:cs="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eastAsia="Calibri" w:cs="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80" w:after="40"/>
      <w:outlineLvl w:val="3"/>
    </w:pPr>
    <w:rPr>
      <w:rFonts w:eastAsia="Calibri" w:cs="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Calibri" w:cs=""/>
      <w:color w:themeColor="accent1" w:themeShade="bf" w:val="0F4761"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40" w:after="0"/>
      <w:outlineLvl w:val="5"/>
    </w:pPr>
    <w:rPr>
      <w:rFonts w:eastAsia="Calibri" w:cs="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40" w:after="0"/>
      <w:outlineLvl w:val="6"/>
    </w:pPr>
    <w:rPr>
      <w:rFonts w:eastAsia="Calibri" w:cs=""/>
      <w:color w:themeColor="dark1" w:themeTint="a6"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0" w:after="0"/>
      <w:outlineLvl w:val="7"/>
    </w:pPr>
    <w:rPr>
      <w:rFonts w:eastAsia="Calibri" w:cs="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0" w:after="0"/>
      <w:outlineLvl w:val="8"/>
    </w:pPr>
    <w:rPr>
      <w:rFonts w:eastAsia="Calibri" w:cs=""/>
      <w:color w:themeColor="dark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3d745f"/>
    <w:rPr/>
  </w:style>
  <w:style w:type="character" w:styleId="ZpatChar" w:customStyle="1">
    <w:name w:val="Zápatí Char"/>
    <w:basedOn w:val="DefaultParagraphFont"/>
    <w:uiPriority w:val="99"/>
    <w:qFormat/>
    <w:rsid w:val="003d745f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c0498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17cb"/>
    <w:rPr>
      <w:color w:themeColor="hyperlink" w:val="0563C1"/>
      <w:u w:val="single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0F4761"/>
      <w:spacing w:val="5"/>
    </w:rPr>
  </w:style>
  <w:style w:type="character" w:styleId="VrazncittChar">
    <w:name w:val="Výrazný citát Char"/>
    <w:basedOn w:val="DefaultParagraphFont"/>
    <w:qFormat/>
    <w:rPr>
      <w:i/>
      <w:iCs/>
      <w:color w:themeColor="accent1" w:themeShade="bf" w:val="0F4761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0F4761"/>
    </w:rPr>
  </w:style>
  <w:style w:type="character" w:styleId="CittChar">
    <w:name w:val="Citát Char"/>
    <w:basedOn w:val="DefaultParagraphFont"/>
    <w:qFormat/>
    <w:rPr>
      <w:i/>
      <w:iCs/>
      <w:color w:themeColor="dark1" w:themeTint="bf" w:val="404040"/>
    </w:rPr>
  </w:style>
  <w:style w:type="character" w:styleId="PodnadpisChar">
    <w:name w:val="Podnadpis Char"/>
    <w:basedOn w:val="DefaultParagraphFont"/>
    <w:qFormat/>
    <w:rPr>
      <w:rFonts w:eastAsia="Calibri" w:cs=""/>
      <w:color w:themeColor="dark1" w:themeTint="a6" w:val="595959"/>
      <w:spacing w:val="15"/>
      <w:sz w:val="28"/>
      <w:szCs w:val="28"/>
    </w:rPr>
  </w:style>
  <w:style w:type="character" w:styleId="NzevChar">
    <w:name w:val="Název Char"/>
    <w:basedOn w:val="DefaultParagraphFont"/>
    <w:qFormat/>
    <w:rPr>
      <w:rFonts w:ascii="Aptos Display" w:hAnsi="Aptos Display" w:eastAsia="Calibri" w:cs=""/>
      <w:spacing w:val="-10"/>
      <w:kern w:val="2"/>
      <w:sz w:val="56"/>
      <w:szCs w:val="56"/>
    </w:rPr>
  </w:style>
  <w:style w:type="character" w:styleId="Nadpis9Char">
    <w:name w:val="Nadpis 9 Char"/>
    <w:basedOn w:val="DefaultParagraphFont"/>
    <w:qFormat/>
    <w:rPr>
      <w:rFonts w:eastAsia="Calibri" w:cs=""/>
      <w:color w:themeColor="dark1" w:themeTint="d8" w:val="272727"/>
    </w:rPr>
  </w:style>
  <w:style w:type="character" w:styleId="Nadpis8Char">
    <w:name w:val="Nadpis 8 Char"/>
    <w:basedOn w:val="DefaultParagraphFont"/>
    <w:qFormat/>
    <w:rPr>
      <w:rFonts w:eastAsia="Calibri" w:cs=""/>
      <w:i/>
      <w:iCs/>
      <w:color w:themeColor="dark1" w:themeTint="d8" w:val="272727"/>
    </w:rPr>
  </w:style>
  <w:style w:type="character" w:styleId="Nadpis7Char">
    <w:name w:val="Nadpis 7 Char"/>
    <w:basedOn w:val="DefaultParagraphFont"/>
    <w:qFormat/>
    <w:rPr>
      <w:rFonts w:eastAsia="Calibri" w:cs=""/>
      <w:color w:themeColor="dark1" w:themeTint="a6" w:val="595959"/>
    </w:rPr>
  </w:style>
  <w:style w:type="character" w:styleId="Nadpis6Char">
    <w:name w:val="Nadpis 6 Char"/>
    <w:basedOn w:val="DefaultParagraphFont"/>
    <w:qFormat/>
    <w:rPr>
      <w:rFonts w:eastAsia="Calibri" w:cs=""/>
      <w:i/>
      <w:iCs/>
      <w:color w:themeColor="dark1" w:themeTint="a6" w:val="595959"/>
    </w:rPr>
  </w:style>
  <w:style w:type="character" w:styleId="Nadpis5Char">
    <w:name w:val="Nadpis 5 Char"/>
    <w:basedOn w:val="DefaultParagraphFont"/>
    <w:qFormat/>
    <w:rPr>
      <w:rFonts w:eastAsia="Calibri" w:cs=""/>
      <w:color w:themeColor="accent1" w:themeShade="bf" w:val="0F4761"/>
    </w:rPr>
  </w:style>
  <w:style w:type="character" w:styleId="Nadpis4Char">
    <w:name w:val="Nadpis 4 Char"/>
    <w:basedOn w:val="DefaultParagraphFont"/>
    <w:qFormat/>
    <w:rPr>
      <w:rFonts w:eastAsia="Calibri" w:cs=""/>
      <w:i/>
      <w:iCs/>
      <w:color w:themeColor="accent1" w:themeShade="bf" w:val="0F4761"/>
    </w:rPr>
  </w:style>
  <w:style w:type="character" w:styleId="Nadpis3Char">
    <w:name w:val="Nadpis 3 Char"/>
    <w:basedOn w:val="DefaultParagraphFont"/>
    <w:qFormat/>
    <w:rPr>
      <w:rFonts w:eastAsia="Calibri" w:cs=""/>
      <w:color w:themeColor="accent1" w:themeShade="bf" w:val="0F4761"/>
      <w:sz w:val="28"/>
      <w:szCs w:val="28"/>
    </w:rPr>
  </w:style>
  <w:style w:type="character" w:styleId="Nadpis2Char">
    <w:name w:val="Nadpis 2 Char"/>
    <w:basedOn w:val="DefaultParagraphFont"/>
    <w:qFormat/>
    <w:rPr>
      <w:rFonts w:ascii="Aptos Display" w:hAnsi="Aptos Display" w:eastAsia="Calibri" w:cs=""/>
      <w:color w:themeColor="accent1" w:themeShade="bf" w:val="0F4761"/>
      <w:sz w:val="32"/>
      <w:szCs w:val="32"/>
    </w:rPr>
  </w:style>
  <w:style w:type="character" w:styleId="Nadpis1Char">
    <w:name w:val="Nadpis 1 Char"/>
    <w:basedOn w:val="DefaultParagraphFont"/>
    <w:qFormat/>
    <w:rPr>
      <w:rFonts w:ascii="Aptos Display" w:hAnsi="Aptos Display" w:eastAsia="Calibri" w:cs=""/>
      <w:color w:themeColor="accent1" w:themeShade="bf" w:val="0F4761"/>
      <w:sz w:val="40"/>
      <w:szCs w:val="40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SubtleEmphasis">
    <w:name w:val="Subtle Emphasis"/>
    <w:basedOn w:val="DefaultParagraphFont"/>
    <w:qFormat/>
    <w:rPr>
      <w:i/>
      <w:iCs/>
      <w:color w:themeColor="dark1" w:themeTint="fe" w:val="808080"/>
      <w14:textFill>
        <w14:solidFill>
          <w14:schemeClr w14:val="dk1">
            <w14:lumMod w14:val="50000"/>
            <w14:lumOff w14:val="50000"/>
          </w14:schemeClr>
        </w14:solidFill>
      </w14:textFill>
    </w:rPr>
  </w:style>
  <w:style w:type="character" w:styleId="IntenseQuoteChar">
    <w:name w:val="Intense Quote Char"/>
    <w:basedOn w:val="DefaultParagraphFont"/>
    <w:qFormat/>
    <w:rPr>
      <w:b/>
      <w:bCs/>
      <w:i/>
      <w:iCs/>
      <w:color w:themeColor="accent1" w:val="4F81BD"/>
    </w:rPr>
  </w:style>
  <w:style w:type="character" w:styleId="Heading9Char">
    <w:name w:val="Heading 9 Char"/>
    <w:basedOn w:val="DefaultParagraphFont"/>
    <w:qFormat/>
    <w:rPr>
      <w:rFonts w:ascii="Calibri" w:hAnsi="Calibri" w:eastAsia="Calibri" w:cs=""/>
      <w:i/>
      <w:iCs/>
      <w:color w:themeColor="dark1" w:themeTint="fe" w:val="404040"/>
      <w:sz w:val="20"/>
      <w:szCs w:val="2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8Char">
    <w:name w:val="Heading 8 Char"/>
    <w:basedOn w:val="DefaultParagraphFont"/>
    <w:qFormat/>
    <w:rPr>
      <w:rFonts w:ascii="Calibri" w:hAnsi="Calibri" w:eastAsia="Calibri" w:cs=""/>
      <w:color w:themeColor="accent1" w:val="4F81BD"/>
      <w:sz w:val="20"/>
      <w:szCs w:val="20"/>
    </w:rPr>
  </w:style>
  <w:style w:type="character" w:styleId="Heading7Char">
    <w:name w:val="Heading 7 Char"/>
    <w:basedOn w:val="DefaultParagraphFont"/>
    <w:qFormat/>
    <w:rPr>
      <w:rFonts w:ascii="Calibri" w:hAnsi="Calibri" w:eastAsia="Calibri" w:cs=""/>
      <w:i/>
      <w:iCs/>
      <w:color w:themeColor="dark1" w:themeTint="fe" w:val="40404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6Char">
    <w:name w:val="Heading 6 Char"/>
    <w:basedOn w:val="DefaultParagraphFont"/>
    <w:qFormat/>
    <w:rPr>
      <w:rFonts w:ascii="Calibri" w:hAnsi="Calibri" w:eastAsia="Calibri" w:cs=""/>
      <w:i/>
      <w:iCs/>
      <w:color w:themeColor="accent1" w:themeShade="80" w:val="254061"/>
    </w:rPr>
  </w:style>
  <w:style w:type="character" w:styleId="Heading5Char">
    <w:name w:val="Heading 5 Char"/>
    <w:basedOn w:val="DefaultParagraphFont"/>
    <w:qFormat/>
    <w:rPr>
      <w:rFonts w:ascii="Calibri" w:hAnsi="Calibri" w:eastAsia="Calibri" w:cs=""/>
      <w:color w:themeColor="accent1" w:themeShade="80" w:val="254061"/>
    </w:rPr>
  </w:style>
  <w:style w:type="character" w:styleId="Heading4Char">
    <w:name w:val="Heading 4 Char"/>
    <w:basedOn w:val="DefaultParagraphFont"/>
    <w:qFormat/>
    <w:rPr>
      <w:rFonts w:ascii="Calibri" w:hAnsi="Calibri" w:eastAsia="Calibri" w:cs=""/>
      <w:b/>
      <w:bCs/>
      <w:i/>
      <w:iCs/>
      <w:color w:themeColor="accent1" w:val="4F81BD"/>
    </w:rPr>
  </w:style>
  <w:style w:type="character" w:styleId="QuoteChar">
    <w:name w:val="Quote Char"/>
    <w:basedOn w:val="DefaultParagraphFont"/>
    <w:qFormat/>
    <w:rPr>
      <w:i/>
      <w:iCs/>
      <w:color w:themeColor="dark1" w:val="000000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BodyText2Char">
    <w:name w:val="Body Text 2 Char"/>
    <w:basedOn w:val="DefaultParagraphFont"/>
    <w:qFormat/>
    <w:rPr/>
  </w:style>
  <w:style w:type="character" w:styleId="BodyTextChar">
    <w:name w:val="Body Text Char"/>
    <w:basedOn w:val="DefaultParagraphFont"/>
    <w:qFormat/>
    <w:rPr/>
  </w:style>
  <w:style w:type="character" w:styleId="SubtitleChar">
    <w:name w:val="Subtitle Char"/>
    <w:basedOn w:val="DefaultParagraphFont"/>
    <w:qFormat/>
    <w:rPr>
      <w:rFonts w:ascii="Calibri" w:hAnsi="Calibri" w:eastAsia="Calibri" w:cs=""/>
      <w:i/>
      <w:iCs/>
      <w:color w:themeColor="accent1" w:val="4F81BD"/>
      <w:spacing w:val="15"/>
      <w:sz w:val="24"/>
      <w:szCs w:val="24"/>
    </w:rPr>
  </w:style>
  <w:style w:type="character" w:styleId="TitleChar">
    <w:name w:val="Title Char"/>
    <w:basedOn w:val="DefaultParagraphFont"/>
    <w:qFormat/>
    <w:rPr>
      <w:rFonts w:ascii="Calibri" w:hAnsi="Calibri" w:eastAsia="Calibri" w:cs=""/>
      <w:color w:themeColor="dark2" w:themeShade="bf" w:val="17375E"/>
      <w:spacing w:val="5"/>
      <w:kern w:val="2"/>
      <w:sz w:val="52"/>
      <w:szCs w:val="52"/>
    </w:rPr>
  </w:style>
  <w:style w:type="character" w:styleId="Heading3Char">
    <w:name w:val="Heading 3 Char"/>
    <w:basedOn w:val="DefaultParagraphFont"/>
    <w:qFormat/>
    <w:rPr>
      <w:rFonts w:ascii="Calibri" w:hAnsi="Calibri" w:eastAsia="Calibri" w:cs=""/>
      <w:b/>
      <w:bCs/>
      <w:color w:themeColor="accent1" w:val="4F81BD"/>
    </w:rPr>
  </w:style>
  <w:style w:type="character" w:styleId="Heading2Char">
    <w:name w:val="Heading 2 Char"/>
    <w:basedOn w:val="DefaultParagraphFont"/>
    <w:qFormat/>
    <w:rPr>
      <w:rFonts w:ascii="Calibri" w:hAnsi="Calibri" w:eastAsia="Calibri" w:cs=""/>
      <w:b/>
      <w:bCs/>
      <w:color w:themeColor="accent1" w:val="4F81BD"/>
      <w:sz w:val="26"/>
      <w:szCs w:val="26"/>
    </w:rPr>
  </w:style>
  <w:style w:type="character" w:styleId="Heading1Char">
    <w:name w:val="Heading 1 Char"/>
    <w:basedOn w:val="DefaultParagraphFont"/>
    <w:qFormat/>
    <w:rPr>
      <w:rFonts w:ascii="Calibri" w:hAnsi="Calibri" w:eastAsia="Calibri" w:cs=""/>
      <w:b/>
      <w:bCs/>
      <w:color w:themeColor="accent1" w:themeShade="bf" w:val="376092"/>
      <w:sz w:val="28"/>
      <w:szCs w:val="28"/>
    </w:rPr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3d74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023ce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049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0279"/>
    <w:pPr>
      <w:spacing w:before="0" w:after="160"/>
      <w:ind w:left="720"/>
      <w:contextualSpacing/>
    </w:pPr>
    <w:rPr/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Subtitle">
    <w:name w:val="Subtitle"/>
    <w:basedOn w:val="Normal"/>
    <w:next w:val="Normal"/>
    <w:qFormat/>
    <w:pPr/>
    <w:rPr>
      <w:rFonts w:eastAsia="Calibri" w:cs=""/>
      <w:color w:themeColor="dark1" w:themeTint="a6" w:val="595959"/>
      <w:spacing w:val="15"/>
      <w:sz w:val="28"/>
      <w:szCs w:val="28"/>
    </w:rPr>
  </w:style>
  <w:style w:type="paragraph" w:styleId="Title">
    <w:name w:val="Title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Calibri" w:cs=""/>
      <w:spacing w:val="-10"/>
      <w:kern w:val="2"/>
      <w:sz w:val="56"/>
      <w:szCs w:val="56"/>
    </w:rPr>
  </w:style>
  <w:style w:type="paragraph" w:styleId="IndexHeading">
    <w:name w:val="index heading"/>
    <w:basedOn w:val="Nadpis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MacroText">
    <w:name w:val="macro"/>
    <w:qFormat/>
    <w:pPr>
      <w:widowControl/>
      <w:tabs>
        <w:tab w:val="clear" w:pos="708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Calibri" w:cs="" w:cstheme="minorBidi" w:eastAsiaTheme="minorHAnsi"/>
      <w:color w:val="auto"/>
      <w:kern w:val="0"/>
      <w:sz w:val="20"/>
      <w:szCs w:val="20"/>
      <w:lang w:val="en-US" w:eastAsia="en-US" w:bidi="ar-SA"/>
    </w:rPr>
  </w:style>
  <w:style w:type="paragraph" w:styleId="ListNumber3">
    <w:name w:val="List Number 3"/>
    <w:basedOn w:val="Normal"/>
    <w:pPr>
      <w:numPr>
        <w:ilvl w:val="0"/>
        <w:numId w:val="8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7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Continue3">
    <w:name w:val="List Continue 3"/>
    <w:basedOn w:val="Normal"/>
    <w:pPr>
      <w:spacing w:before="0" w:after="120"/>
      <w:ind w:left="1080"/>
      <w:contextualSpacing/>
    </w:pPr>
    <w:rPr/>
  </w:style>
  <w:style w:type="paragraph" w:styleId="ListContinue2">
    <w:name w:val="List Continue 2"/>
    <w:basedOn w:val="Normal"/>
    <w:pPr>
      <w:spacing w:before="0" w:after="120"/>
      <w:ind w:left="720"/>
      <w:contextualSpacing/>
    </w:pPr>
    <w:rPr/>
  </w:style>
  <w:style w:type="paragraph" w:styleId="ListContinue">
    <w:name w:val="List Continue"/>
    <w:basedOn w:val="Normal"/>
    <w:pPr>
      <w:spacing w:before="0" w:after="120"/>
      <w:ind w:left="360"/>
      <w:contextualSpacing/>
    </w:pPr>
    <w:rPr/>
  </w:style>
  <w:style w:type="paragraph" w:styleId="ListBullet3">
    <w:name w:val="List Bullet 3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Bullet">
    <w:name w:val="List Bullet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left="1080"/>
      <w:contextualSpacing/>
    </w:pPr>
    <w:rPr/>
  </w:style>
  <w:style w:type="paragraph" w:styleId="List2">
    <w:name w:val="List 2"/>
    <w:basedOn w:val="Normal"/>
    <w:qFormat/>
    <w:pPr>
      <w:spacing w:before="0" w:after="200"/>
      <w:ind w:hanging="360" w:left="720"/>
      <w:contextualSpacing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Bezseznamuuser" w:default="1">
    <w:name w:val="Bez seznamu (user)"/>
    <w:uiPriority w:val="99"/>
    <w:semiHidden/>
    <w:unhideWhenUsed/>
    <w:qFormat/>
  </w:style>
  <w:style w:type="numbering" w:styleId="Bezseznamu">
    <w:name w:val="Bez seznamu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8d48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LibreOffice/26.2.5.2$Windows_X86_64 LibreOffice_project/cd7284b4cbbfeb507e630c1aac019f4157393acb</Application>
  <AppVersion>15.0000</AppVersion>
  <Pages>6</Pages>
  <Words>983</Words>
  <Characters>6118</Characters>
  <CharactersWithSpaces>7021</CharactersWithSpaces>
  <Paragraphs>113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2026-08-04T08:45:00Z</dcterms:created>
  <dc:creator>reditelna</dc:creator>
  <dc:description/>
  <dc:language>cs-CZ</dc:language>
  <cp:lastModifiedBy/>
  <cp:lastPrinted>2026-09-14T16:35:34Z</cp:lastPrinted>
  <dcterms:modified xsi:type="dcterms:W3CDTF">2026-09-15T12:04:41Z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